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PT Astra Serif" w:cs="PT Astra Serif" w:eastAsia="PT Astra Serif" w:hAnsi="PT Astra Serif"/>
          <w:sz w:val="24"/>
          <w:szCs w:val="24"/>
        </w:rPr>
      </w:pPr>
      <w:r w:rsidDel="00000000" w:rsidR="00000000" w:rsidRPr="00000000">
        <w:rPr>
          <w:rFonts w:ascii="PT Astra Serif" w:cs="PT Astra Serif" w:eastAsia="PT Astra Serif" w:hAnsi="PT Astra Serif"/>
          <w:b w:val="1"/>
          <w:bCs w:val="1"/>
          <w:sz w:val="24"/>
          <w:szCs w:val="24"/>
          <w:shd w:fill="auto" w:val="clear"/>
          <w:rtl w:val="0"/>
        </w:rPr>
        <w:t xml:space="preserve">12 Главное управление Министерства обороны Российской Федерации проводит набор кандидатов на военную службу по контракту</w:t>
      </w:r>
      <w:r w:rsidDel="00000000" w:rsidR="00000000" w:rsidRPr="00000000">
        <w:rPr>
          <w:rFonts w:ascii="PT Astra Serif" w:cs="PT Astra Serif" w:eastAsia="PT Astra Serif" w:hAnsi="PT Astra Serif"/>
          <w:sz w:val="24"/>
          <w:szCs w:val="24"/>
          <w:shd w:fill="auto" w:val="clear"/>
          <w:rtl w:val="0"/>
        </w:rPr>
        <w:t xml:space="preserve">.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-3149804</wp:posOffset>
            </wp:positionH>
            <wp:positionV relativeFrom="paragraph">
              <wp:posOffset>-362850</wp:posOffset>
            </wp:positionV>
            <wp:extent cx="2884564" cy="3557999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84564" cy="355799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ind w:left="0" w:right="0" w:firstLine="567"/>
        <w:jc w:val="both"/>
        <w:rPr/>
      </w:pPr>
      <w:r w:rsidDel="00000000" w:rsidR="00000000" w:rsidRPr="00000000">
        <w:rPr>
          <w:rFonts w:ascii="PT Astra Serif" w:cs="PT Astra Serif" w:eastAsia="PT Astra Serif" w:hAnsi="PT Astra Serif"/>
          <w:sz w:val="24"/>
          <w:szCs w:val="24"/>
          <w:shd w:fill="auto" w:val="clear"/>
          <w:rtl w:val="0"/>
        </w:rPr>
        <w:t xml:space="preserve">12 Главное управление Министерства обороны Российской Федерации — это элитное стратегическое подразделение, отвечающее за специальное обеспечение национальной безопасности и поддержание паритета. Мы обеспечиваем охрану, техническое обслуживание и транспортировку особо важных государственных объектов, контроль за критически важными системами и защиту стратегических ресурсов страны.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ind w:left="0" w:right="0" w:firstLine="567"/>
        <w:jc w:val="both"/>
        <w:rPr/>
      </w:pPr>
      <w:r w:rsidDel="00000000" w:rsidR="00000000" w:rsidRPr="00000000">
        <w:rPr>
          <w:rFonts w:ascii="PT Astra Serif" w:cs="PT Astra Serif" w:eastAsia="PT Astra Serif" w:hAnsi="PT Astra Serif"/>
          <w:sz w:val="24"/>
          <w:szCs w:val="24"/>
          <w:shd w:fill="auto" w:val="clear"/>
          <w:rtl w:val="0"/>
        </w:rPr>
        <w:t xml:space="preserve">Служба в 12 ГУ МО предоставляет </w:t>
      </w:r>
      <w:r w:rsidDel="00000000" w:rsidR="00000000" w:rsidRPr="00000000">
        <w:rPr>
          <w:rFonts w:ascii="PT Astra Serif" w:cs="PT Astra Serif" w:eastAsia="PT Astra Serif" w:hAnsi="PT Astra Serif"/>
          <w:b w:val="1"/>
          <w:bCs w:val="1"/>
          <w:sz w:val="24"/>
          <w:szCs w:val="24"/>
          <w:shd w:fill="auto" w:val="clear"/>
          <w:rtl w:val="0"/>
        </w:rPr>
        <w:t xml:space="preserve">значительные преимущества</w:t>
      </w:r>
      <w:r w:rsidDel="00000000" w:rsidR="00000000" w:rsidRPr="00000000">
        <w:rPr>
          <w:rFonts w:ascii="PT Astra Serif" w:cs="PT Astra Serif" w:eastAsia="PT Astra Serif" w:hAnsi="PT Astra Serif"/>
          <w:sz w:val="24"/>
          <w:szCs w:val="24"/>
          <w:shd w:fill="auto" w:val="clear"/>
          <w:rtl w:val="0"/>
        </w:rPr>
        <w:t xml:space="preserve"> по сравнению с контрактной службой в обычных воинских частях: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/>
      </w:pPr>
      <w:r w:rsidDel="00000000" w:rsidR="00000000" w:rsidRPr="00000000">
        <w:rPr>
          <w:rFonts w:ascii="PT Astra Serif" w:cs="PT Astra Serif" w:eastAsia="PT Astra Serif" w:hAnsi="PT Astra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Льготное исчисление выслуги лет: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/>
      </w:pPr>
      <w:r w:rsidDel="00000000" w:rsidR="00000000" w:rsidRPr="00000000">
        <w:rPr>
          <w:rFonts w:ascii="PT Astra Serif" w:cs="PT Astra Serif" w:eastAsia="PT Astra Serif" w:hAnsi="PT Astra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год за два — при службе в Камчатском крае;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-3149804</wp:posOffset>
            </wp:positionH>
            <wp:positionV relativeFrom="paragraph">
              <wp:posOffset>45170</wp:posOffset>
            </wp:positionV>
            <wp:extent cx="2884564" cy="3565403"/>
            <wp:effectExtent b="0" l="0" r="0" t="0"/>
            <wp:wrapNone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84564" cy="356540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/>
      </w:pPr>
      <w:r w:rsidDel="00000000" w:rsidR="00000000" w:rsidRPr="00000000">
        <w:rPr>
          <w:rFonts w:ascii="PT Astra Serif" w:cs="PT Astra Serif" w:eastAsia="PT Astra Serif" w:hAnsi="PT Astra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Фактически пенсия за за 10-15 лет реальной работы в удаленных гарнизонах.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ind w:left="0" w:right="0" w:firstLine="567"/>
        <w:jc w:val="both"/>
        <w:rPr>
          <w:b w:val="1"/>
          <w:bCs w:val="1"/>
        </w:rPr>
      </w:pPr>
      <w:r w:rsidDel="00000000" w:rsidR="00000000" w:rsidRPr="00000000">
        <w:rPr>
          <w:rFonts w:ascii="PT Astra Serif" w:cs="PT Astra Serif" w:eastAsia="PT Astra Serif" w:hAnsi="PT Astra Serif"/>
          <w:b w:val="1"/>
          <w:bCs w:val="1"/>
          <w:sz w:val="24"/>
          <w:szCs w:val="24"/>
          <w:shd w:fill="auto" w:val="clear"/>
          <w:rtl w:val="0"/>
        </w:rPr>
        <w:t xml:space="preserve">Значительные денежные надбавки: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/>
      </w:pPr>
      <w:r w:rsidDel="00000000" w:rsidR="00000000" w:rsidRPr="00000000">
        <w:rPr>
          <w:rFonts w:ascii="PT Astra Serif" w:cs="PT Astra Serif" w:eastAsia="PT Astra Serif" w:hAnsi="PT Astra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 60% к окладу за особые условия службы;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/>
      </w:pPr>
      <w:r w:rsidDel="00000000" w:rsidR="00000000" w:rsidRPr="00000000">
        <w:rPr>
          <w:rFonts w:ascii="PT Astra Serif" w:cs="PT Astra Serif" w:eastAsia="PT Astra Serif" w:hAnsi="PT Astra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 65% за работу с гостайной;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/>
      </w:pPr>
      <w:r w:rsidDel="00000000" w:rsidR="00000000" w:rsidRPr="00000000">
        <w:rPr>
          <w:rFonts w:ascii="PT Astra Serif" w:cs="PT Astra Serif" w:eastAsia="PT Astra Serif" w:hAnsi="PT Astra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северные коэффициенты;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/>
      </w:pPr>
      <w:r w:rsidDel="00000000" w:rsidR="00000000" w:rsidRPr="00000000">
        <w:rPr>
          <w:rFonts w:ascii="PT Astra Serif" w:cs="PT Astra Serif" w:eastAsia="PT Astra Serif" w:hAnsi="PT Astra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надбавка за классную квалификацию (до 30%), за выслугу лет (до 40% и более).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ind w:left="0" w:right="0" w:firstLine="567"/>
        <w:jc w:val="both"/>
        <w:rPr>
          <w:b w:val="1"/>
          <w:bCs w:val="1"/>
        </w:rPr>
      </w:pPr>
      <w:r w:rsidDel="00000000" w:rsidR="00000000" w:rsidRPr="00000000">
        <w:rPr>
          <w:rFonts w:ascii="PT Astra Serif" w:cs="PT Astra Serif" w:eastAsia="PT Astra Serif" w:hAnsi="PT Astra Serif"/>
          <w:b w:val="1"/>
          <w:bCs w:val="1"/>
          <w:sz w:val="24"/>
          <w:szCs w:val="24"/>
          <w:shd w:fill="auto" w:val="clear"/>
          <w:rtl w:val="0"/>
        </w:rPr>
        <w:t xml:space="preserve">Социальные гарантии: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/>
      </w:pPr>
      <w:r w:rsidDel="00000000" w:rsidR="00000000" w:rsidRPr="00000000">
        <w:rPr>
          <w:rFonts w:ascii="PT Astra Serif" w:cs="PT Astra Serif" w:eastAsia="PT Astra Serif" w:hAnsi="PT Astra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служебное жилье с первого дня службы и компенсация поднайма;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/>
      </w:pPr>
      <w:r w:rsidDel="00000000" w:rsidR="00000000" w:rsidRPr="00000000">
        <w:rPr>
          <w:rFonts w:ascii="PT Astra Serif" w:cs="PT Astra Serif" w:eastAsia="PT Astra Serif" w:hAnsi="PT Astra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возможность получения собственного жилья при заключении второго контракта;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/>
      </w:pPr>
      <w:r w:rsidDel="00000000" w:rsidR="00000000" w:rsidRPr="00000000">
        <w:rPr>
          <w:rFonts w:ascii="PT Astra Serif" w:cs="PT Astra Serif" w:eastAsia="PT Astra Serif" w:hAnsi="PT Astra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пенсионное обеспечение по выслуге 20 лет в льготном исчислении — до 80% от оклада;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T Astra Serif" w:cs="PT Astra Serif" w:eastAsia="PT Astra Serif" w:hAnsi="PT Astra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отпуск 45-60 дней в зависимости от местности службы.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-3149804</wp:posOffset>
            </wp:positionH>
            <wp:positionV relativeFrom="paragraph">
              <wp:posOffset>371834</wp:posOffset>
            </wp:positionV>
            <wp:extent cx="2884564" cy="3587870"/>
            <wp:effectExtent b="0" l="0" r="0" t="0"/>
            <wp:wrapNone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84564" cy="35878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1">
      <w:pPr>
        <w:spacing w:after="0" w:lineRule="auto"/>
        <w:rPr>
          <w:rFonts w:ascii="PT Astra Serif" w:cs="PT Astra Serif" w:eastAsia="PT Astra Serif" w:hAnsi="PT Astra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jc w:val="center"/>
        <w:rPr>
          <w:rFonts w:ascii="PT Astra Serif" w:cs="PT Astra Serif" w:eastAsia="PT Astra Serif" w:hAnsi="PT Astra Serif"/>
          <w:b w:val="1"/>
          <w:bCs w:val="1"/>
          <w:sz w:val="24"/>
          <w:szCs w:val="24"/>
        </w:rPr>
      </w:pPr>
      <w:r w:rsidDel="00000000" w:rsidR="00000000" w:rsidRPr="00000000">
        <w:rPr>
          <w:rFonts w:ascii="PT Astra Serif" w:cs="PT Astra Serif" w:eastAsia="PT Astra Serif" w:hAnsi="PT Astra Serif"/>
          <w:b w:val="1"/>
          <w:bCs w:val="1"/>
          <w:sz w:val="24"/>
          <w:szCs w:val="24"/>
          <w:shd w:fill="auto" w:val="clear"/>
          <w:rtl w:val="0"/>
        </w:rPr>
        <w:t xml:space="preserve">Начните путь в подразделение, где профессионализм имеет решающее значение!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Rule="auto"/>
        <w:rPr>
          <w:rFonts w:ascii="PT Astra Serif" w:cs="PT Astra Serif" w:eastAsia="PT Astra Serif" w:hAnsi="PT Astra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Rule="auto"/>
        <w:ind w:left="0" w:right="0" w:firstLine="567"/>
        <w:jc w:val="both"/>
        <w:rPr>
          <w:rFonts w:ascii="PT Astra Serif" w:cs="PT Astra Serif" w:eastAsia="PT Astra Serif" w:hAnsi="PT Astra Serif"/>
          <w:sz w:val="24"/>
          <w:szCs w:val="24"/>
        </w:rPr>
      </w:pPr>
      <w:r w:rsidDel="00000000" w:rsidR="00000000" w:rsidRPr="00000000">
        <w:rPr>
          <w:rFonts w:ascii="PT Astra Serif" w:cs="PT Astra Serif" w:eastAsia="PT Astra Serif" w:hAnsi="PT Astra Serif"/>
          <w:sz w:val="24"/>
          <w:szCs w:val="24"/>
          <w:shd w:fill="auto" w:val="clear"/>
          <w:rtl w:val="0"/>
        </w:rPr>
        <w:t xml:space="preserve">По вопросам поступления на военную службу по контракту: +7 (495) 696-32-22.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Rule="auto"/>
        <w:ind w:left="0" w:right="0" w:firstLine="567"/>
        <w:jc w:val="both"/>
        <w:rPr>
          <w:rFonts w:ascii="PT Astra Serif" w:cs="PT Astra Serif" w:eastAsia="PT Astra Serif" w:hAnsi="PT Astra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ind w:left="0" w:right="0" w:firstLine="567"/>
        <w:jc w:val="both"/>
        <w:rPr>
          <w:rFonts w:ascii="PT Astra Serif" w:cs="PT Astra Serif" w:eastAsia="PT Astra Serif" w:hAnsi="PT Astra Serif"/>
          <w:sz w:val="24"/>
          <w:szCs w:val="24"/>
        </w:rPr>
      </w:pPr>
      <w:r w:rsidDel="00000000" w:rsidR="00000000" w:rsidRPr="00000000">
        <w:rPr>
          <w:rFonts w:ascii="PT Astra Serif" w:cs="PT Astra Serif" w:eastAsia="PT Astra Serif" w:hAnsi="PT Astra Serif"/>
          <w:sz w:val="24"/>
          <w:szCs w:val="24"/>
          <w:shd w:fill="auto" w:val="clear"/>
          <w:rtl w:val="0"/>
        </w:rPr>
        <w:t xml:space="preserve">Заполнить анкету кандидата: </w:t>
      </w:r>
      <w:hyperlink r:id="rId9">
        <w:r w:rsidDel="00000000" w:rsidR="00000000" w:rsidRPr="00000000">
          <w:rPr>
            <w:rFonts w:ascii="PT Astra Serif" w:cs="PT Astra Serif" w:eastAsia="PT Astra Serif" w:hAnsi="PT Astra Serif"/>
            <w:color w:val="0563c1"/>
            <w:sz w:val="24"/>
            <w:szCs w:val="24"/>
            <w:u w:val="single"/>
            <w:shd w:fill="auto" w:val="clear"/>
            <w:rtl w:val="0"/>
          </w:rPr>
          <w:t xml:space="preserve">https://vk.com/app5619682_-167853299</w:t>
        </w:r>
      </w:hyperlink>
      <w:r w:rsidDel="00000000" w:rsidR="00000000" w:rsidRPr="00000000">
        <w:rPr>
          <w:rFonts w:ascii="PT Astra Serif" w:cs="PT Astra Serif" w:eastAsia="PT Astra Serif" w:hAnsi="PT Astra Serif"/>
          <w:sz w:val="24"/>
          <w:szCs w:val="24"/>
          <w:shd w:fill="auto" w:val="clear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Rule="auto"/>
        <w:ind w:left="0" w:right="0" w:firstLine="567"/>
        <w:jc w:val="both"/>
        <w:rPr>
          <w:rFonts w:ascii="PT Astra Serif" w:cs="PT Astra Serif" w:eastAsia="PT Astra Serif" w:hAnsi="PT Astra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Rule="auto"/>
        <w:ind w:left="0" w:right="0" w:firstLine="567"/>
        <w:jc w:val="both"/>
        <w:rPr>
          <w:rFonts w:ascii="PT Astra Serif" w:cs="PT Astra Serif" w:eastAsia="PT Astra Serif" w:hAnsi="PT Astra Serif"/>
          <w:sz w:val="24"/>
          <w:szCs w:val="24"/>
        </w:rPr>
      </w:pPr>
      <w:r w:rsidDel="00000000" w:rsidR="00000000" w:rsidRPr="00000000">
        <w:rPr>
          <w:rFonts w:ascii="PT Astra Serif" w:cs="PT Astra Serif" w:eastAsia="PT Astra Serif" w:hAnsi="PT Astra Serif"/>
          <w:sz w:val="24"/>
          <w:szCs w:val="24"/>
          <w:shd w:fill="auto" w:val="clear"/>
          <w:rtl w:val="0"/>
        </w:rPr>
        <w:t xml:space="preserve">Дополнительная информация на сайте МО РФ: </w:t>
      </w:r>
      <w:hyperlink r:id="rId10">
        <w:r w:rsidDel="00000000" w:rsidR="00000000" w:rsidRPr="00000000">
          <w:rPr>
            <w:rFonts w:ascii="PT Astra Serif" w:cs="PT Astra Serif" w:eastAsia="PT Astra Serif" w:hAnsi="PT Astra Serif"/>
            <w:color w:val="0563c1"/>
            <w:sz w:val="24"/>
            <w:szCs w:val="24"/>
            <w:u w:val="single"/>
            <w:shd w:fill="auto" w:val="clear"/>
            <w:rtl w:val="0"/>
          </w:rPr>
          <w:t xml:space="preserve">https://mil.ru/service/contract12</w:t>
        </w:r>
      </w:hyperlink>
      <w:r w:rsidDel="00000000" w:rsidR="00000000" w:rsidRPr="00000000">
        <w:rPr>
          <w:rFonts w:ascii="PT Astra Serif" w:cs="PT Astra Serif" w:eastAsia="PT Astra Serif" w:hAnsi="PT Astra Serif"/>
          <w:sz w:val="24"/>
          <w:szCs w:val="24"/>
          <w:shd w:fill="auto" w:val="clear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PT Astra Serif" w:cs="PT Astra Serif" w:eastAsia="PT Astra Serif" w:hAnsi="PT Astra Serif"/>
          <w:sz w:val="24"/>
          <w:szCs w:val="24"/>
          <w:shd w:fill="auto" w:val="clear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567" w:left="4961" w:right="85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Liberation Sans"/>
  <w:font w:name="PT Astra Serif"/>
  <w:font w:name="Arial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–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–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–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ans" w:cs="Liberation Sans" w:eastAsia="Liberation Sans" w:hAnsi="Liberation Sans"/>
        <w:sz w:val="22"/>
        <w:szCs w:val="22"/>
        <w:lang w:val="ru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200" w:before="480" w:lineRule="auto"/>
    </w:pPr>
    <w:rPr>
      <w:rFonts w:ascii="Liberation Sans" w:cs="Liberation Sans" w:eastAsia="Liberation Sans" w:hAnsi="Liberation Sans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200" w:before="360" w:lineRule="auto"/>
    </w:pPr>
    <w:rPr>
      <w:rFonts w:ascii="Liberation Sans" w:cs="Liberation Sans" w:eastAsia="Liberation Sans" w:hAnsi="Liberation Sans"/>
      <w:sz w:val="34"/>
      <w:szCs w:val="34"/>
    </w:rPr>
  </w:style>
  <w:style w:type="paragraph" w:styleId="Heading3">
    <w:name w:val="heading 3"/>
    <w:basedOn w:val="Normal"/>
    <w:next w:val="Normal"/>
    <w:pPr>
      <w:keepNext w:val="1"/>
      <w:keepLines w:val="1"/>
      <w:spacing w:after="200" w:before="320" w:lineRule="auto"/>
    </w:pPr>
    <w:rPr>
      <w:rFonts w:ascii="Liberation Sans" w:cs="Liberation Sans" w:eastAsia="Liberation Sans" w:hAnsi="Liberation Sans"/>
      <w:sz w:val="30"/>
      <w:szCs w:val="30"/>
    </w:rPr>
  </w:style>
  <w:style w:type="paragraph" w:styleId="Heading4">
    <w:name w:val="heading 4"/>
    <w:basedOn w:val="Normal"/>
    <w:next w:val="Normal"/>
    <w:pPr>
      <w:keepNext w:val="1"/>
      <w:keepLines w:val="1"/>
      <w:spacing w:after="200" w:before="320" w:lineRule="auto"/>
    </w:pPr>
    <w:rPr>
      <w:rFonts w:ascii="Liberation Sans" w:cs="Liberation Sans" w:eastAsia="Liberation Sans" w:hAnsi="Liberation Sans"/>
      <w:b w:val="1"/>
      <w:bCs w:val="1"/>
      <w:sz w:val="26"/>
      <w:szCs w:val="26"/>
    </w:rPr>
  </w:style>
  <w:style w:type="paragraph" w:styleId="Heading5">
    <w:name w:val="heading 5"/>
    <w:basedOn w:val="Normal"/>
    <w:next w:val="Normal"/>
    <w:pPr>
      <w:keepNext w:val="1"/>
      <w:keepLines w:val="1"/>
      <w:spacing w:after="200" w:before="320" w:lineRule="auto"/>
    </w:pPr>
    <w:rPr>
      <w:rFonts w:ascii="Liberation Sans" w:cs="Liberation Sans" w:eastAsia="Liberation Sans" w:hAnsi="Liberation Sans"/>
      <w:b w:val="1"/>
      <w:bCs w:val="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200" w:before="320" w:lineRule="auto"/>
    </w:pPr>
    <w:rPr>
      <w:rFonts w:ascii="Liberation Sans" w:cs="Liberation Sans" w:eastAsia="Liberation Sans" w:hAnsi="Liberation Sans"/>
      <w:b w:val="1"/>
      <w:bCs w:val="1"/>
      <w:sz w:val="22"/>
      <w:szCs w:val="22"/>
    </w:rPr>
  </w:style>
  <w:style w:type="paragraph" w:styleId="Title">
    <w:name w:val="Title"/>
    <w:basedOn w:val="Normal"/>
    <w:next w:val="Normal"/>
    <w:pPr>
      <w:spacing w:after="200" w:before="300" w:lineRule="auto"/>
    </w:pPr>
    <w:rPr>
      <w:sz w:val="48"/>
      <w:szCs w:val="48"/>
    </w:rPr>
  </w:style>
  <w:style w:type="paragraph" w:styleId="Subtitle">
    <w:name w:val="Subtitle"/>
    <w:basedOn w:val="Normal"/>
    <w:next w:val="Normal"/>
    <w:pPr>
      <w:spacing w:after="200" w:before="200" w:lineRule="auto"/>
    </w:pPr>
    <w:rPr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mil.ru/service/contract12" TargetMode="External"/><Relationship Id="rId9" Type="http://schemas.openxmlformats.org/officeDocument/2006/relationships/hyperlink" Target="https://vk.com/app5619682_-167853299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