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  <w:t xml:space="preserve">                 </w:t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highlight w:val="none"/>
        </w:rPr>
        <w:t xml:space="preserve">              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 В службу охраны труда, надежности и промышленной безопасности АО «ЮЭСК» (ПАО «РусГидро») требуется специалист по охране труда 2 категории.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jc w:val="both"/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          Все социальные гарантии, перспектива роста. Заработная плата 90-95 тысяч рублей с ежегодной индексацией.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jc w:val="both"/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Основные требования: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pStyle w:val="672"/>
        <w:numPr>
          <w:ilvl w:val="0"/>
          <w:numId w:val="1"/>
        </w:numPr>
        <w:contextualSpacing/>
        <w:ind w:left="-142" w:right="0" w:firstLine="490"/>
        <w:jc w:val="both"/>
        <w:spacing w:after="0" w:line="360" w:lineRule="auto"/>
        <w:tabs>
          <w:tab w:val="left" w:pos="709" w:leader="none"/>
        </w:tabs>
        <w:rPr>
          <w:rFonts w:ascii="PT Astra Serif" w:hAnsi="PT Astra Serif" w:cs="PT Astra Serif"/>
          <w:sz w:val="32"/>
          <w:szCs w:val="32"/>
        </w:rPr>
        <w:suppressLineNumbers w:val="0"/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образование по направлению деятельности (техносферная безопасность, либо в области энергетики)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contextualSpacing/>
        <w:ind w:left="349" w:right="0" w:firstLine="0"/>
        <w:jc w:val="both"/>
        <w:spacing w:after="0" w:line="360" w:lineRule="auto"/>
        <w:tabs>
          <w:tab w:val="left" w:pos="709" w:leader="none"/>
        </w:tabs>
        <w:rPr>
          <w:rFonts w:ascii="PT Astra Serif" w:hAnsi="PT Astra Serif" w:cs="PT Astra Serif"/>
          <w:sz w:val="32"/>
          <w:szCs w:val="32"/>
        </w:rPr>
        <w:suppressLineNumbers w:val="0"/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Резюме направлять на адрес электронной почты </w:t>
      </w:r>
      <w:r>
        <w:rPr>
          <w:rFonts w:ascii="PT Astra Serif" w:hAnsi="PT Astra Serif" w:eastAsia="PT Astra Serif" w:cs="PT Astra Serif"/>
          <w:sz w:val="32"/>
          <w:szCs w:val="32"/>
        </w:rPr>
      </w:r>
      <w:hyperlink r:id="rId10" w:tooltip="mailto:semenov-VL@kamenergo.ru" w:history="1">
        <w:r>
          <w:rPr>
            <w:rStyle w:val="813"/>
            <w:rFonts w:ascii="PT Astra Serif" w:hAnsi="PT Astra Serif" w:eastAsia="PT Astra Serif" w:cs="PT Astra Serif"/>
            <w:color w:val="0000ff"/>
            <w:sz w:val="32"/>
            <w:szCs w:val="32"/>
            <w:highlight w:val="white"/>
            <w:u w:val="single"/>
          </w:rPr>
          <w:t xml:space="preserve">semenov-VL@kamenergo.ru</w:t>
        </w:r>
      </w:hyperlink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Дополнительную информацию можно получить по телефону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+7-909-892-48-28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rFonts w:ascii="PT Astra Serif" w:hAnsi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Семенов Виктор  Леонидович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  <w:tabs>
          <w:tab w:val="left" w:pos="648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568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emenov-VL@kamenerg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736-ED7B-4322-8CC7-C3F8F21B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Maksimenko_OM</dc:creator>
  <cp:keywords/>
  <dc:description/>
  <cp:revision>39</cp:revision>
  <dcterms:created xsi:type="dcterms:W3CDTF">2019-11-26T03:47:00Z</dcterms:created>
  <dcterms:modified xsi:type="dcterms:W3CDTF">2024-12-26T21:29:59Z</dcterms:modified>
</cp:coreProperties>
</file>