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8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Вестник 67</w:t>
      </w:r>
      <w:r/>
    </w:p>
    <w:p>
      <w:pPr>
        <w:spacing w:line="288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tbl>
      <w:tblPr>
        <w:tblStyle w:val="603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539.3:629.5.03                                                        </w:t>
            </w:r>
            <w:r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: 10.17217/2079-0333-2024-67-8-20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ИССЛЕДОВАНИЕ РЕЗОНАНСНЫХ ЯВЛЕНИЙ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КРУТИЛЬНЫХ КОЛЕБАНИЙ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ВАЛОПРОВОДОВ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ГРЕБНЫХ ВИНТОВ</w:t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pStyle w:val="604"/>
              <w:ind w:firstLine="0"/>
              <w:spacing w:line="288" w:lineRule="auto"/>
              <w:shd w:val="clear" w:color="auto" w:fill="ffffff"/>
              <w:widowControl w:val="off"/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  <w:vertAlign w:val="superscript"/>
              </w:rPr>
            </w:pP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Царенко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С.Н.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  <w:vertAlign w:val="superscript"/>
              </w:rPr>
              <w:t xml:space="preserve">1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Роменский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Д.И.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  <w:vertAlign w:val="superscript"/>
              </w:rPr>
              <w:t xml:space="preserve">2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, Корж 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</w:rPr>
              <w:t xml:space="preserve">А.С.</w:t>
            </w:r>
            <w:r>
              <w:rPr>
                <w:rStyle w:val="605"/>
                <w:rFonts w:ascii="PT Astra Serif" w:hAnsi="PT Astra Serif"/>
                <w:i w:val="0"/>
                <w:color w:val="auto"/>
                <w:sz w:val="24"/>
                <w:szCs w:val="24"/>
                <w:vertAlign w:val="superscript"/>
              </w:rPr>
              <w:t xml:space="preserve">3</w:t>
            </w:r>
            <w:r/>
          </w:p>
          <w:p>
            <w:pPr>
              <w:pStyle w:val="604"/>
              <w:ind w:firstLine="0"/>
              <w:jc w:val="center"/>
              <w:spacing w:line="288" w:lineRule="auto"/>
              <w:shd w:val="clear" w:color="auto" w:fill="ffffff"/>
              <w:widowControl w:val="off"/>
              <w:rPr>
                <w:rStyle w:val="605"/>
                <w:rFonts w:ascii="PT Astra Serif" w:hAnsi="PT Astra Serif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 w:val="0"/>
                <w:color w:val="auto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1 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Камчатский государственный технический университет,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 Петропавловск-Камчатский, ул. Ключевская, 35.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2 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Национальный исследовательский Московский государственный строительный униве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ситет,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Москва, Ярославское шоссе, 26.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3 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Научно-исследовательский геотехнологический центр Дальневосточного отделения Ро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ской академии наук,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Петропавловск-Камчатский, Северо-Восточное шоссе, 30.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работе рассматривается задача крутильных колебаний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валопроводов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гребных винтов. В отличие от традиционного метода на основе дискретных масс, для исследования динам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ческих процессов принята модель двухступенчатого стержня с распределенными пар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метрами. Активная нагрузка со 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роны двигателя, так же как и в классическом подходе,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аппроксимируется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частичной суммой ряда Фурье. Выполнено сравнение результатов 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чета по предлагаемой модели с результатами, известными в 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тературе. Установлено, что </w:t>
            </w:r>
            <w:r>
              <w:rPr>
                <w:rFonts w:ascii="PT Astra Serif" w:hAnsi="PT Astra Serif" w:cs="Times New Roman" w:eastAsiaTheme="minorEastAsia"/>
                <w:sz w:val="24"/>
                <w:szCs w:val="24"/>
              </w:rPr>
              <w:t xml:space="preserve">обе расчетные методики дают чрезмерные значения усилий и деформаций при резонансе с гармоникой, для которой фазовая составляющая кратна циклу работы двигателя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валопровод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динамические нагрузки, крутильные колебания, метод Фурье, рез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нанс, ступенчатый стержень.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664.952:637.133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: 10.17217/2079-0333-2024-67-21-35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pStyle w:val="609"/>
              <w:ind w:left="0"/>
              <w:jc w:val="center"/>
              <w:spacing w:line="288" w:lineRule="auto"/>
              <w:widowControl w:val="off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Применение творожной СЫВОРОТКИ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br/>
              <w:t xml:space="preserve">В ТЕХНОЛОГИИ КОЛБАСНО-СОСИСОЧНЫХ ИЗДЕЛИЙ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br/>
              <w:t xml:space="preserve">с рыбной составляющей как направление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br/>
              <w:t xml:space="preserve">рационального использования вторичного пищевого сырья</w:t>
            </w:r>
            <w:r/>
          </w:p>
          <w:p>
            <w:pPr>
              <w:pStyle w:val="607"/>
              <w:spacing w:after="0" w:line="288" w:lineRule="auto"/>
              <w:widowControl w:val="off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/>
          </w:p>
          <w:p>
            <w:pPr>
              <w:pStyle w:val="607"/>
              <w:spacing w:after="0" w:line="288" w:lineRule="auto"/>
              <w:widowControl w:val="off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Ефимов А.А., </w:t>
            </w:r>
            <w:r>
              <w:rPr>
                <w:rFonts w:ascii="PT Astra Serif" w:hAnsi="PT Astra Serif"/>
                <w:bCs/>
              </w:rPr>
              <w:t xml:space="preserve">Мустафаева</w:t>
            </w:r>
            <w:r>
              <w:rPr>
                <w:rFonts w:ascii="PT Astra Serif" w:hAnsi="PT Astra Serif"/>
                <w:bCs/>
              </w:rPr>
              <w:t xml:space="preserve"> В.М., Ефимова М.В.</w:t>
            </w:r>
            <w:r/>
          </w:p>
          <w:p>
            <w:pPr>
              <w:pStyle w:val="607"/>
              <w:spacing w:after="0" w:line="288" w:lineRule="auto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pStyle w:val="607"/>
              <w:spacing w:after="0" w:line="288" w:lineRule="auto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Камчатский государственный технический университет, </w:t>
            </w:r>
            <w:r>
              <w:rPr>
                <w:rFonts w:ascii="PT Astra Serif" w:hAnsi="PT Astra Serif"/>
                <w:shd w:val="clear" w:color="auto" w:fill="ffffff"/>
              </w:rPr>
              <w:t xml:space="preserve">г</w:t>
            </w:r>
            <w:r>
              <w:rPr>
                <w:rFonts w:ascii="PT Astra Serif" w:hAnsi="PT Astra Serif"/>
                <w:shd w:val="clear" w:color="auto" w:fill="ffffff"/>
              </w:rPr>
              <w:t xml:space="preserve">. Петропавловск-Камчатский, ул. Ключевская, 35.</w:t>
            </w:r>
            <w:r/>
          </w:p>
          <w:p>
            <w:pPr>
              <w:pStyle w:val="607"/>
              <w:spacing w:after="0" w:line="288" w:lineRule="auto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  <w:p>
            <w:pPr>
              <w:spacing w:line="288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В статье рассмотрены направления использования молочной творожной сыворотки в пищ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вых технологиях. Аргументирована целесообразность производства предприятиями Ка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чатского края продукции с использованием сыворотки как вторичного пищевого сырья и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доброкачественных рыбных пищевых отходов филейного производства. Введение указа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ных компонентов в пищевые композиции при произво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стве колбасно-сосисочных изделий обеспечит возможность реализации принципа рационального испол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зования биологических ресурсов, позволит расширить ассортимент продукции, пользующейся спросом потребит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лей. Приведены данные исследования способов введения творожной сыворотки в фарш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вую смесь для приготовления колбасно-сосисочных изделий. Показано, что достижение 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соких потребительских (органолептических) свойств готовой продукции обесп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чивается при введении сыв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ротки в фарш в виде суспензии. Охарактеризована зависимость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вкусо-ароматических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свойств и консистенции изделий от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вводимой в рецептурный с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став творожной сыв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ротки.</w:t>
            </w:r>
            <w:r/>
          </w:p>
          <w:p>
            <w:pPr>
              <w:pStyle w:val="604"/>
              <w:ind w:firstLine="0"/>
              <w:spacing w:line="288" w:lineRule="auto"/>
              <w:shd w:val="clear" w:color="auto" w:fill="ffffff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  <w:r/>
          </w:p>
          <w:p>
            <w:pPr>
              <w:pStyle w:val="610"/>
              <w:spacing w:line="288" w:lineRule="auto"/>
              <w:widowControl w:val="off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Ключевые слова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вторичное пищевое сырье, колбасно-сосисочные изделия, рыбные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щевые отх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ды, творожная сыворотка. 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663.1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: 10.17217/2079-0333-2024-67-36-42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ИСПОЛЬЗОВАНИЕ КОНСОРЦИУМА МИКРООРГАНИЗМОВ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ГРАНУЛ ВОДНОГО КЕФИРА ДЛЯ ПОЛУЧЕНИЯ НАПИТКА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Фролова Н.А.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pacing w:val="5"/>
                <w:sz w:val="24"/>
                <w:szCs w:val="24"/>
              </w:rPr>
              <w:t xml:space="preserve">Калининградский государственный технический университет, </w:t>
            </w:r>
            <w:r>
              <w:rPr>
                <w:rFonts w:ascii="PT Astra Serif" w:hAnsi="PT Astra Serif" w:cs="Times New Roman"/>
                <w:spacing w:val="5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pacing w:val="5"/>
                <w:sz w:val="24"/>
                <w:szCs w:val="24"/>
              </w:rPr>
              <w:t xml:space="preserve">. Калининград, Сове</w:t>
            </w:r>
            <w:r>
              <w:rPr>
                <w:rFonts w:ascii="PT Astra Serif" w:hAnsi="PT Astra Serif" w:cs="Times New Roman"/>
                <w:spacing w:val="5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cs="Times New Roman"/>
                <w:spacing w:val="5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проспект, 1.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пищевой промышленности ферментация определяется как процесс преобразования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ганических веществ в кислоты, этанол или углекислый газ. Данные вещества способны подавлять рост патогенных микроорганизмов в продуктах. Основными субстратами,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пользуемыми при 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производстве ферментированных продуктов, являются молоко, мясо, р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ба, крупы, фрукты, овощи и напитки. В настоящее время ферментированные продукты и напитки считаются частью ежедневного рациона. Результаты проведенных исследов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ний показали, что температура ферментации, концентрация сахара и концентрация мо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ковного сока влияют на содержание сухих веществ и сенсорные свойства готового напитка. Макс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мальное количество сухих веществ отмечено в образцах напитка, полученных при темпер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туре 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25°C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с содержанием 10% сахарозы, время ферментации которых сост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вило 24 часа. После 48- и 72-часовой ферментации происходит снижение содержания с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хих веществ на 0,5 и 1% соответственно. Наиболее оптимальными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образцами с точки зрения вкуса и 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держания сухих веществ явились образцы напитка, содержащего 10% сахара и 10% мо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ковного сока, ферментированные при температуре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25°C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течение 48 часов, при этом срок годности напитка с учетом выживаемости микроорганизмов составил 5 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ток.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водный кефир, гранулы, микроорганизмы,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пробиотики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ферментация, функционал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ное назначение.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597.556.253(265.5)"2022-2023"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10.17217/2079-0333-2024-67-43-58</w:t>
            </w:r>
            <w:r/>
          </w:p>
          <w:p>
            <w:pPr>
              <w:jc w:val="center"/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Размерно-весов</w:t>
            </w:r>
            <w:bookmarkStart w:id="0" w:name="_GoBack"/>
            <w:r/>
            <w:bookmarkEnd w:id="0"/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ой состав и Морфологическая характеристика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вятииглой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 колюшки 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t xml:space="preserve">Pungitius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t xml:space="preserve">pungitius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  <w:lang w:bidi="en-US"/>
              </w:rPr>
              <w:t xml:space="preserve">(</w:t>
            </w:r>
            <w:r>
              <w:rPr>
                <w:rFonts w:ascii="PT Astra Serif" w:hAnsi="PT Astra Serif"/>
                <w:b/>
                <w:caps/>
                <w:sz w:val="24"/>
                <w:szCs w:val="24"/>
                <w:lang w:bidi="en-US"/>
              </w:rPr>
              <w:t xml:space="preserve">Gasterosteidae</w:t>
            </w:r>
            <w:r>
              <w:rPr>
                <w:rFonts w:ascii="PT Astra Serif" w:hAnsi="PT Astra Serif"/>
                <w:b/>
                <w:caps/>
                <w:sz w:val="24"/>
                <w:szCs w:val="24"/>
                <w:lang w:bidi="en-US"/>
              </w:rPr>
              <w:t xml:space="preserve">)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PT Astra Serif" w:hAnsi="PT Astra Serif"/>
                <w:b/>
                <w:i/>
                <w:iCs/>
                <w:caps/>
                <w:sz w:val="24"/>
                <w:szCs w:val="24"/>
                <w:lang w:bidi="en-US"/>
              </w:rPr>
              <w:br/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из озЕРА ПриливноГО (юго-восточная Камчатка) </w:t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br/>
            </w:r>
            <w:r>
              <w:rPr>
                <w:rFonts w:ascii="PT Astra Serif" w:hAnsi="PT Astra Serif"/>
                <w:b/>
                <w:caps/>
                <w:sz w:val="24"/>
                <w:szCs w:val="24"/>
              </w:rPr>
              <w:t xml:space="preserve">зимой 2022–2023 гг.</w:t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aps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Григорьев С.С. </w:t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Камчатский филиал Тихоокеанского института географии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Дальневосточного отделения Ро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сийской академии наук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Петропавловск-Камчатский, ул.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Партизанская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6.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  <w:lang w:bidi="ru-RU"/>
              </w:rPr>
              <w:t xml:space="preserve">Изучены размерно-весовой состав и морфология </w:t>
            </w:r>
            <w:r>
              <w:rPr>
                <w:rFonts w:ascii="PT Astra Serif" w:hAnsi="PT Astra Serif"/>
                <w:spacing w:val="-2"/>
                <w:sz w:val="24"/>
                <w:szCs w:val="24"/>
                <w:lang w:bidi="ru-RU"/>
              </w:rPr>
              <w:t xml:space="preserve">девятииглой</w:t>
            </w:r>
            <w:r>
              <w:rPr>
                <w:rFonts w:ascii="PT Astra Serif" w:hAnsi="PT Astra Serif"/>
                <w:spacing w:val="-2"/>
                <w:sz w:val="24"/>
                <w:szCs w:val="24"/>
                <w:lang w:bidi="ru-RU"/>
              </w:rPr>
              <w:t xml:space="preserve"> колюшки </w:t>
            </w:r>
            <w:r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Pungitius</w:t>
            </w:r>
            <w:r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pungitius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  <w:szCs w:val="24"/>
                <w:lang w:bidi="ru-RU"/>
              </w:rPr>
              <w:t xml:space="preserve">из оз. Приливного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(юго-восток Камчатки) за период с декабря 2022 по март 2023 гг. Сре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д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няя длина рыб за 4 месяца увеличилась с 30,5 до 55,3 мм, а средняя индивидуальная масса рыб увеличилась соответственно с 0,5 до 2,1 г. 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амый большой разброс данных набл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ю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дался для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антеанального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антепекторального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антедорсального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антевентрального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стояний, длины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хвост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вого стебля и длины головы. </w:t>
            </w:r>
            <w:r>
              <w:rPr>
                <w:rFonts w:ascii="PT Astra Serif" w:hAnsi="PT Astra Serif"/>
                <w:spacing w:val="-3"/>
                <w:sz w:val="24"/>
                <w:szCs w:val="24"/>
              </w:rPr>
              <w:t xml:space="preserve">С увеличением стандартной длины тела возрастали относительные величины длины головы, </w:t>
            </w:r>
            <w:r>
              <w:rPr>
                <w:rFonts w:ascii="PT Astra Serif" w:hAnsi="PT Astra Serif"/>
                <w:spacing w:val="-3"/>
                <w:sz w:val="24"/>
                <w:szCs w:val="24"/>
              </w:rPr>
              <w:t xml:space="preserve">антеаналь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ного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антепекторального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 расстояний. 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Антедорсальное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 расстояние, 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антевентральное</w:t>
            </w:r>
            <w:r>
              <w:rPr>
                <w:rFonts w:ascii="PT Astra Serif" w:hAnsi="PT Astra Serif"/>
                <w:spacing w:val="5"/>
                <w:sz w:val="24"/>
                <w:szCs w:val="24"/>
              </w:rPr>
              <w:t xml:space="preserve"> расстояние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длина хвост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вого стебля по мере роста уменьшаются по отношению к стандартной длине тела.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В р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е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зультате исследований показана изменчивость морфологических признаков 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девятииглой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колю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ш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ки, обитающей в данном водоеме и облавливаемой в одном месте.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  <w:lang w:bidi="ru-RU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bidi="ru-RU"/>
              </w:rPr>
              <w:t xml:space="preserve">Ключевые слова</w:t>
            </w:r>
            <w:r>
              <w:rPr>
                <w:rFonts w:ascii="PT Astra Serif" w:hAnsi="PT Astra Serif"/>
                <w:b/>
                <w:sz w:val="24"/>
                <w:szCs w:val="24"/>
                <w:lang w:bidi="ru-RU"/>
              </w:rPr>
              <w:t xml:space="preserve">: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девятииглая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колюшка, длина тела, масса тела, 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меристические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 призн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а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ки, морфол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о</w:t>
            </w:r>
            <w:r>
              <w:rPr>
                <w:rFonts w:ascii="PT Astra Serif" w:hAnsi="PT Astra Serif"/>
                <w:sz w:val="24"/>
                <w:szCs w:val="24"/>
                <w:lang w:bidi="ru-RU"/>
              </w:rPr>
              <w:t xml:space="preserve">гия, пластические признаки, оз. Приливное. 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574.587+574.583(282.256.1)                              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10.17217/2079-0333-2024-67-59-79</w:t>
            </w:r>
            <w:r/>
          </w:p>
          <w:p>
            <w:pPr>
              <w:jc w:val="center"/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ОЦЕНКА ЭКОЛОГИЧЕСКОГО СОСТОЯНИЯ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ПОЙМЕННЫХ ОЗЕР БАССЕЙНА ВЕРХНЕЙ ОБИ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Сафонова М.А.,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Ширинина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М.К.,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Котовщиков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А.В.,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Яныгина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Л.В.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Институт водных и экологических проблем СО РАН, г. Барнаул, ул.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Молодежная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1.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статье представлены результаты исследования шести пойменных озер бассейна Верхней Оби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заросших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участках и в зарослях высшей водной растительности. Целью работы стала оценка эколог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ческого состояния данных водоемов на основе гидрохимических и гидробиологических (с использованием фитопланктона и зообентоса) показателей. В большинстве озер отмечены повышенные уровни хлорофилла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биогенных элементов, свидетельствующие о процессе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эвтрофирования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Для четырех водоемов из шести отмеч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 увеличение численности и биомассы донных сообществ на заросших участках. Также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выявлено обеднение бентосных сообществ наиболее глуб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ких участков исследованных озер.</w:t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Ключевые слова: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бентос, Верхняя Обь, пойменные озера, фитопланктон. 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9571" w:type="dxa"/>
            <w:textDirection w:val="lrTb"/>
            <w:noWrap w:val="false"/>
          </w:tcPr>
          <w:p>
            <w:pPr>
              <w:spacing w:line="28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УДК 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[599.3: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591.9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]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(234.85)                                          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DOI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10.17217/2079-0333-2024-67-80-94</w:t>
            </w:r>
            <w:r/>
          </w:p>
          <w:p>
            <w:pPr>
              <w:jc w:val="center"/>
              <w:spacing w:line="288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СООБЩЕСТВА МЕЛКИХ МЛЕКОПИТАЮЩИХ СЕВЕРНОЙ ЛЕСОСТЕПИ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ТОБОЛО-ИШИМСКОГО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МЕЖДУРЕЧЬЯ</w:t>
            </w:r>
            <w:r/>
          </w:p>
          <w:p>
            <w:pPr>
              <w:jc w:val="center"/>
              <w:spacing w:line="288" w:lineRule="auto"/>
              <w:widowControl w:val="off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Стариков В.П., Володина О.Ю., Кравченко В.Н.,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Тарикулиева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С.Э.,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Ялымова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Д.М.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Сургутский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государственный университет,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Сургут, ул. Ленина, 1.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работе обобщен материал по населению мелких млекопитающих северной лесостепи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Тоболо-Ишимского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междуречья (Южное Зауралье). Рассмотрена краткая история изуч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ния этой группы животных. Использование двух методов учета (конусы с направляющ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 системами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ловушко-линии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позволило наиболее полно выявить видовой состав. На изученной территории зарегистрировано 18 видов насекомоядных и грызунов. В то же время видовой состав, группа фоновых и доминиру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щих видов, показатели суммарного обилия мелких млекопитающих изученной территории во многом определялись специф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кой метода учета животных. Ядро мелких млекопитающих северной лесостепи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Тоболо-Ишимского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междуречья составили виды, 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готеющие к увлажненным местообитаниям, – обыкн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венная и малая бурозубки. В целом вне зависимости от метода учета животных в исследу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мый период они характеризовались низкими показателями обилия.</w:t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spacing w:line="288" w:lineRule="auto"/>
              <w:widowControl w:val="off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Ключевые слова: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грызуны, насекомоядные, северная лесостепь, сообщества,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Тоболо-Ишимское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дуречье, Южное Зауралье. </w:t>
            </w:r>
            <w:r/>
          </w:p>
          <w:p>
            <w:pPr>
              <w:spacing w:line="28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</w:tr>
    </w:tbl>
    <w:p>
      <w:pPr>
        <w:spacing w:line="288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both"/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Normal (Web)"/>
    <w:basedOn w:val="599"/>
    <w:link w:val="606"/>
    <w:uiPriority w:val="99"/>
    <w:qFormat/>
    <w:pPr>
      <w:ind w:firstLine="400"/>
      <w:spacing w:line="300" w:lineRule="atLeast"/>
    </w:pPr>
    <w:rPr>
      <w:rFonts w:ascii="Tahoma" w:hAnsi="Tahoma" w:cs="Tahoma"/>
      <w:color w:val="515151"/>
      <w:sz w:val="16"/>
      <w:szCs w:val="16"/>
    </w:rPr>
  </w:style>
  <w:style w:type="character" w:styleId="605">
    <w:name w:val="Emphasis"/>
    <w:basedOn w:val="600"/>
    <w:qFormat/>
    <w:rPr>
      <w:i/>
      <w:iCs/>
    </w:rPr>
  </w:style>
  <w:style w:type="character" w:styleId="606" w:customStyle="1">
    <w:name w:val="Обычный (веб) Знак"/>
    <w:link w:val="604"/>
    <w:uiPriority w:val="99"/>
    <w:rPr>
      <w:rFonts w:ascii="Tahoma" w:hAnsi="Tahoma" w:eastAsia="Times New Roman" w:cs="Tahoma"/>
      <w:color w:val="515151"/>
      <w:sz w:val="16"/>
      <w:szCs w:val="16"/>
      <w:lang w:eastAsia="ru-RU"/>
    </w:rPr>
  </w:style>
  <w:style w:type="paragraph" w:styleId="607">
    <w:name w:val="Body Text"/>
    <w:basedOn w:val="599"/>
    <w:link w:val="608"/>
    <w:pPr>
      <w:spacing w:after="120"/>
    </w:pPr>
    <w:rPr>
      <w:sz w:val="24"/>
      <w:szCs w:val="24"/>
    </w:rPr>
  </w:style>
  <w:style w:type="character" w:styleId="608" w:customStyle="1">
    <w:name w:val="Основной текст Знак"/>
    <w:basedOn w:val="600"/>
    <w:link w:val="607"/>
    <w:rPr>
      <w:rFonts w:ascii="Calibri" w:hAnsi="Calibri" w:eastAsia="Times New Roman" w:cs="Calibri"/>
      <w:sz w:val="24"/>
      <w:szCs w:val="24"/>
      <w:lang w:eastAsia="ru-RU"/>
    </w:rPr>
  </w:style>
  <w:style w:type="paragraph" w:styleId="609">
    <w:name w:val="List Paragraph"/>
    <w:basedOn w:val="599"/>
    <w:link w:val="612"/>
    <w:uiPriority w:val="34"/>
    <w:qFormat/>
    <w:pPr>
      <w:ind w:left="720"/>
    </w:pPr>
  </w:style>
  <w:style w:type="paragraph" w:styleId="610">
    <w:name w:val="No Spacing"/>
    <w:link w:val="611"/>
    <w:qFormat/>
    <w:pPr>
      <w:jc w:val="both"/>
      <w:spacing w:after="0" w:line="240" w:lineRule="auto"/>
    </w:pPr>
    <w:rPr>
      <w:rFonts w:ascii="Calibri" w:hAnsi="Calibri" w:eastAsia="Times New Roman" w:cs="Calibri"/>
    </w:rPr>
  </w:style>
  <w:style w:type="character" w:styleId="611" w:customStyle="1">
    <w:name w:val="Без интервала Знак"/>
    <w:link w:val="610"/>
    <w:rPr>
      <w:rFonts w:ascii="Calibri" w:hAnsi="Calibri" w:eastAsia="Times New Roman" w:cs="Calibri"/>
    </w:rPr>
  </w:style>
  <w:style w:type="character" w:styleId="612" w:customStyle="1">
    <w:name w:val="Абзац списка Знак"/>
    <w:basedOn w:val="600"/>
    <w:link w:val="609"/>
    <w:uiPriority w:val="34"/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revision>3</cp:revision>
  <dcterms:created xsi:type="dcterms:W3CDTF">2024-03-26T01:14:00Z</dcterms:created>
  <dcterms:modified xsi:type="dcterms:W3CDTF">2024-03-28T21:49:05Z</dcterms:modified>
</cp:coreProperties>
</file>