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2" w:rsidRPr="00985543" w:rsidRDefault="009B52A1" w:rsidP="00985543">
      <w:pPr>
        <w:spacing w:line="240" w:lineRule="auto"/>
        <w:jc w:val="center"/>
        <w:rPr>
          <w:rFonts w:ascii="PT Astra Serif" w:hAnsi="PT Astra Serif"/>
          <w:b/>
        </w:rPr>
      </w:pPr>
      <w:r w:rsidRPr="00985543">
        <w:rPr>
          <w:rFonts w:ascii="PT Astra Serif" w:hAnsi="PT Astra Serif"/>
          <w:b/>
        </w:rPr>
        <w:t>Вестник 65</w:t>
      </w:r>
      <w:r w:rsidR="00AB7F9D">
        <w:rPr>
          <w:rFonts w:ascii="PT Astra Serif" w:hAnsi="PT Astra Serif"/>
          <w:b/>
        </w:rPr>
        <w:t>, сентябрь 2023</w:t>
      </w:r>
    </w:p>
    <w:tbl>
      <w:tblPr>
        <w:tblStyle w:val="a3"/>
        <w:tblW w:w="0" w:type="auto"/>
        <w:jc w:val="center"/>
        <w:tblLook w:val="04A0"/>
      </w:tblPr>
      <w:tblGrid>
        <w:gridCol w:w="9606"/>
      </w:tblGrid>
      <w:tr w:rsidR="009B52A1" w:rsidRPr="00985543" w:rsidTr="000728C2">
        <w:trPr>
          <w:jc w:val="center"/>
        </w:trPr>
        <w:tc>
          <w:tcPr>
            <w:tcW w:w="9606" w:type="dxa"/>
          </w:tcPr>
          <w:p w:rsidR="009B52A1" w:rsidRPr="00985543" w:rsidRDefault="009B52A1" w:rsidP="00985543">
            <w:pPr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 xml:space="preserve">УДК </w:t>
            </w:r>
            <w:r w:rsidRPr="00985543">
              <w:rPr>
                <w:rFonts w:ascii="PT Astra Serif" w:hAnsi="PT Astra Serif"/>
              </w:rPr>
              <w:t>664.95: 664.956</w:t>
            </w:r>
            <w:r w:rsidRPr="00985543">
              <w:rPr>
                <w:rFonts w:ascii="PT Astra Serif" w:hAnsi="PT Astra Serif" w:cs="Times New Roman"/>
              </w:rPr>
              <w:t xml:space="preserve">                         </w:t>
            </w:r>
            <w:r w:rsidR="000728C2">
              <w:rPr>
                <w:rFonts w:ascii="PT Astra Serif" w:hAnsi="PT Astra Serif" w:cs="Times New Roman"/>
              </w:rPr>
              <w:t xml:space="preserve">             </w:t>
            </w:r>
            <w:r w:rsidRPr="00985543">
              <w:rPr>
                <w:rFonts w:ascii="PT Astra Serif" w:hAnsi="PT Astra Serif" w:cs="Times New Roman"/>
              </w:rPr>
              <w:t xml:space="preserve">                               </w:t>
            </w:r>
            <w:r w:rsidRPr="0098554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  <w:iCs/>
              </w:rPr>
              <w:t>: 10.17217/2079-0333-2023-65-6-17</w:t>
            </w:r>
          </w:p>
          <w:p w:rsidR="009B52A1" w:rsidRPr="00985543" w:rsidRDefault="009B52A1" w:rsidP="00985543">
            <w:pPr>
              <w:rPr>
                <w:rFonts w:ascii="PT Astra Serif" w:hAnsi="PT Astra Serif" w:cs="Times New Roman"/>
              </w:rPr>
            </w:pPr>
          </w:p>
          <w:p w:rsidR="009B52A1" w:rsidRPr="00985543" w:rsidRDefault="009B52A1" w:rsidP="00985543">
            <w:pPr>
              <w:pStyle w:val="a7"/>
              <w:widowControl w:val="0"/>
              <w:jc w:val="center"/>
              <w:rPr>
                <w:rFonts w:ascii="PT Astra Serif" w:hAnsi="PT Astra Serif" w:cs="Times New Roman"/>
                <w:b/>
                <w:caps/>
              </w:rPr>
            </w:pPr>
            <w:r w:rsidRPr="00985543">
              <w:rPr>
                <w:rFonts w:ascii="PT Astra Serif" w:hAnsi="PT Astra Serif" w:cs="Times New Roman"/>
                <w:b/>
                <w:caps/>
              </w:rPr>
              <w:t xml:space="preserve">рыбные снеки на основе вторичного </w:t>
            </w:r>
            <w:r w:rsidRPr="00985543">
              <w:rPr>
                <w:rFonts w:ascii="PT Astra Serif" w:hAnsi="PT Astra Serif" w:cs="Times New Roman"/>
                <w:b/>
                <w:caps/>
              </w:rPr>
              <w:br/>
              <w:t xml:space="preserve">высокоминерализованного сырья </w:t>
            </w:r>
            <w:r w:rsidRPr="00985543">
              <w:rPr>
                <w:rFonts w:ascii="PT Astra Serif" w:hAnsi="PT Astra Serif" w:cs="Times New Roman"/>
                <w:b/>
                <w:caps/>
              </w:rPr>
              <w:br/>
              <w:t xml:space="preserve">как перспективная составляющая ассортимента </w:t>
            </w:r>
            <w:r w:rsidRPr="00985543">
              <w:rPr>
                <w:rFonts w:ascii="PT Astra Serif" w:hAnsi="PT Astra Serif" w:cs="Times New Roman"/>
                <w:b/>
                <w:caps/>
              </w:rPr>
              <w:br/>
              <w:t>снековой продукции</w:t>
            </w:r>
          </w:p>
          <w:p w:rsidR="009B52A1" w:rsidRPr="00985543" w:rsidRDefault="009B52A1" w:rsidP="00985543">
            <w:pPr>
              <w:pStyle w:val="a7"/>
              <w:widowControl w:val="0"/>
              <w:jc w:val="center"/>
              <w:rPr>
                <w:rFonts w:ascii="PT Astra Serif" w:hAnsi="PT Astra Serif" w:cs="Times New Roman"/>
                <w:b/>
                <w:caps/>
              </w:rPr>
            </w:pPr>
          </w:p>
          <w:p w:rsidR="009B52A1" w:rsidRPr="00985543" w:rsidRDefault="009B52A1" w:rsidP="000728C2">
            <w:pPr>
              <w:widowControl w:val="0"/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Чмыхалова В.Б., Чмыхалов Б.А., Ефимова М.В., Ефимов А.А.</w:t>
            </w:r>
          </w:p>
          <w:p w:rsidR="009B52A1" w:rsidRPr="00985543" w:rsidRDefault="009B52A1" w:rsidP="000728C2">
            <w:pPr>
              <w:widowControl w:val="0"/>
              <w:jc w:val="both"/>
              <w:rPr>
                <w:rFonts w:ascii="PT Astra Serif" w:hAnsi="PT Astra Serif"/>
                <w:i/>
              </w:rPr>
            </w:pPr>
          </w:p>
          <w:p w:rsidR="009B52A1" w:rsidRPr="00985543" w:rsidRDefault="009B52A1" w:rsidP="000728C2">
            <w:pPr>
              <w:pStyle w:val="a5"/>
              <w:widowControl w:val="0"/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8554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Камчатский государственный технический университет, г. Петропавловск-Камчатский, ул. Кл</w:t>
            </w:r>
            <w:r w:rsidRPr="0098554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</w:t>
            </w:r>
            <w:r w:rsidRPr="0098554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чевская, 35.</w:t>
            </w:r>
          </w:p>
          <w:p w:rsidR="009B52A1" w:rsidRPr="00985543" w:rsidRDefault="009B52A1" w:rsidP="00985543">
            <w:pPr>
              <w:pStyle w:val="a9"/>
              <w:widowControl w:val="0"/>
              <w:shd w:val="clear" w:color="auto" w:fill="FFFFFF"/>
              <w:spacing w:line="240" w:lineRule="auto"/>
              <w:ind w:firstLine="425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  <w:p w:rsidR="009B52A1" w:rsidRPr="00985543" w:rsidRDefault="009B52A1" w:rsidP="00985543">
            <w:pPr>
              <w:widowControl w:val="0"/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В статье рассмотрены литературные данные о состоянии современного рынка снеков и аргумент</w:t>
            </w:r>
            <w:r w:rsidRPr="00985543">
              <w:rPr>
                <w:rFonts w:ascii="PT Astra Serif" w:hAnsi="PT Astra Serif"/>
              </w:rPr>
              <w:t>и</w:t>
            </w:r>
            <w:r w:rsidRPr="00985543">
              <w:rPr>
                <w:rFonts w:ascii="PT Astra Serif" w:hAnsi="PT Astra Serif"/>
              </w:rPr>
              <w:t>рована необходимость вывода на рынок продукции нового ассортимента, отвечающего предста</w:t>
            </w:r>
            <w:r w:rsidRPr="00985543">
              <w:rPr>
                <w:rFonts w:ascii="PT Astra Serif" w:hAnsi="PT Astra Serif"/>
              </w:rPr>
              <w:t>в</w:t>
            </w:r>
            <w:r w:rsidRPr="00985543">
              <w:rPr>
                <w:rFonts w:ascii="PT Astra Serif" w:hAnsi="PT Astra Serif"/>
              </w:rPr>
              <w:t>лениям о ЗОЖ. Высокоминерализованные отходы, образующиеся при разделке рыбы, являются перспективным сырьем, введение которого в пищевые композиции при производстве снеков обе</w:t>
            </w:r>
            <w:r w:rsidRPr="00985543">
              <w:rPr>
                <w:rFonts w:ascii="PT Astra Serif" w:hAnsi="PT Astra Serif"/>
              </w:rPr>
              <w:t>с</w:t>
            </w:r>
            <w:r w:rsidRPr="00985543">
              <w:rPr>
                <w:rFonts w:ascii="PT Astra Serif" w:hAnsi="PT Astra Serif"/>
              </w:rPr>
              <w:t>печит рациональное использование ресурсов, позволит выпускать недорогую продукцию фун</w:t>
            </w:r>
            <w:r w:rsidRPr="00985543">
              <w:rPr>
                <w:rFonts w:ascii="PT Astra Serif" w:hAnsi="PT Astra Serif"/>
              </w:rPr>
              <w:t>к</w:t>
            </w:r>
            <w:r w:rsidRPr="00985543">
              <w:rPr>
                <w:rFonts w:ascii="PT Astra Serif" w:hAnsi="PT Astra Serif"/>
              </w:rPr>
              <w:t>циональной направленности с пониженным содержанием соли, без химических консервантов, кр</w:t>
            </w:r>
            <w:r w:rsidRPr="00985543">
              <w:rPr>
                <w:rFonts w:ascii="PT Astra Serif" w:hAnsi="PT Astra Serif"/>
              </w:rPr>
              <w:t>а</w:t>
            </w:r>
            <w:r w:rsidRPr="00985543">
              <w:rPr>
                <w:rFonts w:ascii="PT Astra Serif" w:hAnsi="PT Astra Serif"/>
              </w:rPr>
              <w:t>сителей, ароматизаторов, что обеспечит привлекательность снеков для потребителей. Приведены данные социологического исследования целевой аудитории потребителей продукции и анализ х</w:t>
            </w:r>
            <w:r w:rsidRPr="00985543">
              <w:rPr>
                <w:rFonts w:ascii="PT Astra Serif" w:hAnsi="PT Astra Serif"/>
              </w:rPr>
              <w:t>а</w:t>
            </w:r>
            <w:r w:rsidRPr="00985543">
              <w:rPr>
                <w:rFonts w:ascii="PT Astra Serif" w:hAnsi="PT Astra Serif"/>
              </w:rPr>
              <w:t>рактеристик снеков из вторичного высокоминерализованного сырья (ВВС) в сравнении со снеками других видов. Произведен расчет пищевой и энергетической ценности снеков из ВВС, а также ст</w:t>
            </w:r>
            <w:r w:rsidRPr="00985543">
              <w:rPr>
                <w:rFonts w:ascii="PT Astra Serif" w:hAnsi="PT Astra Serif"/>
              </w:rPr>
              <w:t>е</w:t>
            </w:r>
            <w:r w:rsidRPr="00985543">
              <w:rPr>
                <w:rFonts w:ascii="PT Astra Serif" w:hAnsi="PT Astra Serif"/>
              </w:rPr>
              <w:t>пени удовлетворения суточной потребности человека в основных веществах при употреблении 100 г продукции.</w:t>
            </w:r>
          </w:p>
          <w:p w:rsidR="009B52A1" w:rsidRPr="00985543" w:rsidRDefault="009B52A1" w:rsidP="00985543">
            <w:pPr>
              <w:pStyle w:val="a9"/>
              <w:widowControl w:val="0"/>
              <w:shd w:val="clear" w:color="auto" w:fill="FFFFFF"/>
              <w:spacing w:line="240" w:lineRule="auto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  <w:p w:rsidR="009B52A1" w:rsidRPr="00985543" w:rsidRDefault="009B52A1" w:rsidP="00985543">
            <w:pPr>
              <w:pStyle w:val="a7"/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985543">
              <w:rPr>
                <w:rFonts w:ascii="PT Astra Serif" w:hAnsi="PT Astra Serif" w:cs="Times New Roman"/>
                <w:b/>
              </w:rPr>
              <w:t>Ключевые слова</w:t>
            </w:r>
            <w:r w:rsidRPr="00985543">
              <w:rPr>
                <w:rFonts w:ascii="PT Astra Serif" w:hAnsi="PT Astra Serif" w:cs="Times New Roman"/>
              </w:rPr>
              <w:t>: водные биоресурсы, вторичное высокоминерализованное рыбное сырье, пищевая ценность, снеки.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9B52A1" w:rsidRPr="00985543" w:rsidRDefault="009B52A1" w:rsidP="00985543">
            <w:pPr>
              <w:rPr>
                <w:rFonts w:ascii="PT Astra Serif" w:hAnsi="PT Astra Serif"/>
                <w:color w:val="000000" w:themeColor="text1"/>
              </w:rPr>
            </w:pPr>
            <w:r w:rsidRPr="00985543">
              <w:rPr>
                <w:rFonts w:ascii="PT Astra Serif" w:hAnsi="PT Astra Serif"/>
                <w:color w:val="000000" w:themeColor="text1"/>
              </w:rPr>
              <w:t xml:space="preserve">УДК </w:t>
            </w:r>
            <w:r w:rsidRPr="00985543">
              <w:rPr>
                <w:rFonts w:ascii="PT Astra Serif" w:hAnsi="PT Astra Serif"/>
              </w:rPr>
              <w:t>634.1.054:663.952</w:t>
            </w:r>
            <w:r w:rsidRPr="00985543">
              <w:rPr>
                <w:rFonts w:ascii="PT Astra Serif" w:hAnsi="PT Astra Serif"/>
                <w:color w:val="000000" w:themeColor="text1"/>
              </w:rPr>
              <w:t xml:space="preserve">        </w:t>
            </w:r>
            <w:r w:rsidR="000728C2">
              <w:rPr>
                <w:rFonts w:ascii="PT Astra Serif" w:hAnsi="PT Astra Serif"/>
                <w:color w:val="000000" w:themeColor="text1"/>
              </w:rPr>
              <w:t xml:space="preserve">            </w:t>
            </w:r>
            <w:r w:rsidRPr="00985543">
              <w:rPr>
                <w:rFonts w:ascii="PT Astra Serif" w:hAnsi="PT Astra Serif"/>
                <w:color w:val="000000" w:themeColor="text1"/>
              </w:rPr>
              <w:t xml:space="preserve">                                           </w:t>
            </w:r>
            <w:r w:rsidRPr="00985543">
              <w:rPr>
                <w:rFonts w:ascii="PT Astra Serif" w:hAnsi="PT Astra Serif" w:cs="Times New Roman"/>
                <w:iCs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  <w:iCs/>
              </w:rPr>
              <w:t>: 10.17217/2079-0333-2023-65-18-28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985543">
              <w:rPr>
                <w:rFonts w:ascii="PT Astra Serif" w:hAnsi="PT Astra Serif"/>
                <w:b/>
                <w:bCs/>
                <w:color w:val="000000" w:themeColor="text1"/>
              </w:rPr>
              <w:t xml:space="preserve">БЕЗОПАСНОСТЬ ПРИМЕНЕНИЯ ДАЛЬНЕВОСТОЧНОГО </w:t>
            </w:r>
            <w:r w:rsidRPr="00985543">
              <w:rPr>
                <w:rFonts w:ascii="PT Astra Serif" w:hAnsi="PT Astra Serif"/>
                <w:b/>
                <w:bCs/>
                <w:color w:val="000000" w:themeColor="text1"/>
              </w:rPr>
              <w:br/>
              <w:t>РАСТИТЕЛЬНОГО СЫРЬЯ В ПРОИЗВОДСТВЕ ЧАЙНЫХ НАПИТКОВ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9B52A1" w:rsidRPr="00985543" w:rsidRDefault="009B52A1" w:rsidP="000728C2">
            <w:pPr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985543">
              <w:rPr>
                <w:rFonts w:ascii="PT Astra Serif" w:hAnsi="PT Astra Serif"/>
                <w:bCs/>
                <w:color w:val="000000" w:themeColor="text1"/>
              </w:rPr>
              <w:t>Полосков Д.А., Добрынина Е.В., Владыкина Т.В., Ковалева Е.Д.</w:t>
            </w:r>
          </w:p>
          <w:p w:rsidR="009B52A1" w:rsidRPr="00985543" w:rsidRDefault="009B52A1" w:rsidP="000728C2">
            <w:pPr>
              <w:jc w:val="both"/>
              <w:rPr>
                <w:rFonts w:ascii="PT Astra Serif" w:hAnsi="PT Astra Serif"/>
                <w:bCs/>
                <w:color w:val="000000" w:themeColor="text1"/>
              </w:rPr>
            </w:pPr>
          </w:p>
          <w:p w:rsidR="009B52A1" w:rsidRPr="00985543" w:rsidRDefault="009B52A1" w:rsidP="000728C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985543">
              <w:rPr>
                <w:rFonts w:ascii="PT Astra Serif" w:hAnsi="PT Astra Serif"/>
                <w:color w:val="000000" w:themeColor="text1"/>
              </w:rPr>
              <w:t>Дальневосточный федеральный университет, г. Владивосток, о. Русский, п. Аякс, 10</w:t>
            </w:r>
          </w:p>
          <w:p w:rsidR="009B52A1" w:rsidRPr="00985543" w:rsidRDefault="009B52A1" w:rsidP="00985543">
            <w:pPr>
              <w:rPr>
                <w:rFonts w:ascii="PT Astra Serif" w:hAnsi="PT Astra Serif"/>
                <w:i/>
                <w:iCs/>
                <w:color w:val="000000" w:themeColor="text1"/>
              </w:rPr>
            </w:pPr>
          </w:p>
          <w:p w:rsidR="009B52A1" w:rsidRPr="00985543" w:rsidRDefault="009B52A1" w:rsidP="00985543">
            <w:pPr>
              <w:pStyle w:val="a5"/>
              <w:spacing w:after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Одним из видов растительного сырья на Дальнем Востоке России, проявляющего высокую ант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оксидантную активность, является кипрей узколистный (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Сhamerion angustifolium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). Авторы изучили безопасность данного сырья и продукта на его основе – чайного напитка. Исследования проводили в период 2021–2023 гг. В качестве дополнительного сырья использовались водные экстракты пл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дов шиповника даурского (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Rosa davurica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), брусники (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Vaccinium vitis-idaea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 и облепихи крушин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видной (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Hi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Pr="00985543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ophae rhamnoides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). Представлены данные исследований микробиологической загря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ненности и гигиенических показателей безопасности используемого растительного сырья, длительности безопасного хранения готового напитка на основе кипрея узколистного, а также с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</w:t>
            </w:r>
            <w:r w:rsidRPr="0098554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ответствие сырья и продукции требованиям нормативной документации, в том числе ТР ТС 021/2011.</w:t>
            </w:r>
          </w:p>
          <w:p w:rsidR="009B52A1" w:rsidRPr="00985543" w:rsidRDefault="009B52A1" w:rsidP="00985543">
            <w:pPr>
              <w:rPr>
                <w:rFonts w:ascii="PT Astra Serif" w:hAnsi="PT Astra Serif"/>
                <w:bCs/>
              </w:rPr>
            </w:pPr>
          </w:p>
          <w:p w:rsidR="009B52A1" w:rsidRPr="00985543" w:rsidRDefault="009B52A1" w:rsidP="00985543">
            <w:pPr>
              <w:rPr>
                <w:rFonts w:ascii="PT Astra Serif" w:hAnsi="PT Astra Serif"/>
                <w:bCs/>
              </w:rPr>
            </w:pPr>
            <w:r w:rsidRPr="00985543">
              <w:rPr>
                <w:rFonts w:ascii="PT Astra Serif" w:hAnsi="PT Astra Serif"/>
                <w:b/>
              </w:rPr>
              <w:t>Ключевые слова:</w:t>
            </w:r>
            <w:r w:rsidRPr="00985543">
              <w:rPr>
                <w:rFonts w:ascii="PT Astra Serif" w:hAnsi="PT Astra Serif"/>
                <w:bCs/>
              </w:rPr>
              <w:t xml:space="preserve"> </w:t>
            </w:r>
            <w:r w:rsidRPr="00985543">
              <w:rPr>
                <w:rFonts w:ascii="PT Astra Serif" w:hAnsi="PT Astra Serif"/>
              </w:rPr>
              <w:t>антиоксидантная активность, биологически активные вещества, водные эк</w:t>
            </w:r>
            <w:r w:rsidRPr="00985543">
              <w:rPr>
                <w:rFonts w:ascii="PT Astra Serif" w:hAnsi="PT Astra Serif"/>
              </w:rPr>
              <w:t>с</w:t>
            </w:r>
            <w:r w:rsidRPr="00985543">
              <w:rPr>
                <w:rFonts w:ascii="PT Astra Serif" w:hAnsi="PT Astra Serif"/>
              </w:rPr>
              <w:t xml:space="preserve">тракты, кипрей узколистный, требования безопасности, </w:t>
            </w:r>
            <w:r w:rsidRPr="00985543">
              <w:rPr>
                <w:rFonts w:ascii="PT Astra Serif" w:hAnsi="PT Astra Serif"/>
                <w:i/>
                <w:iCs/>
              </w:rPr>
              <w:t>Сhamerion angustifolium</w:t>
            </w:r>
            <w:r w:rsidRPr="00985543">
              <w:rPr>
                <w:rFonts w:ascii="PT Astra Serif" w:hAnsi="PT Astra Serif"/>
              </w:rPr>
              <w:t xml:space="preserve">, </w:t>
            </w:r>
            <w:r w:rsidRPr="00985543">
              <w:rPr>
                <w:rFonts w:ascii="PT Astra Serif" w:hAnsi="PT Astra Serif"/>
                <w:i/>
                <w:iCs/>
              </w:rPr>
              <w:t>Hi</w:t>
            </w:r>
            <w:r w:rsidRPr="00985543">
              <w:rPr>
                <w:rFonts w:ascii="PT Astra Serif" w:hAnsi="PT Astra Serif"/>
                <w:i/>
                <w:iCs/>
                <w:lang w:val="en-US"/>
              </w:rPr>
              <w:t>pp</w:t>
            </w:r>
            <w:r w:rsidRPr="00985543">
              <w:rPr>
                <w:rFonts w:ascii="PT Astra Serif" w:hAnsi="PT Astra Serif"/>
                <w:i/>
                <w:iCs/>
              </w:rPr>
              <w:t>ophae rhamnoides</w:t>
            </w:r>
            <w:r w:rsidRPr="00985543">
              <w:rPr>
                <w:rFonts w:ascii="PT Astra Serif" w:hAnsi="PT Astra Serif"/>
              </w:rPr>
              <w:t xml:space="preserve">, </w:t>
            </w:r>
            <w:r w:rsidRPr="00985543">
              <w:rPr>
                <w:rFonts w:ascii="PT Astra Serif" w:hAnsi="PT Astra Serif"/>
                <w:i/>
                <w:iCs/>
              </w:rPr>
              <w:t>Rosa davurica</w:t>
            </w:r>
            <w:r w:rsidRPr="00985543">
              <w:rPr>
                <w:rFonts w:ascii="PT Astra Serif" w:hAnsi="PT Astra Serif"/>
              </w:rPr>
              <w:t>,</w:t>
            </w:r>
            <w:r w:rsidRPr="00985543">
              <w:rPr>
                <w:rFonts w:ascii="PT Astra Serif" w:hAnsi="PT Astra Serif"/>
                <w:i/>
                <w:iCs/>
              </w:rPr>
              <w:t xml:space="preserve"> Stevia rebaudiana</w:t>
            </w:r>
            <w:r w:rsidRPr="00985543">
              <w:rPr>
                <w:rFonts w:ascii="PT Astra Serif" w:hAnsi="PT Astra Serif"/>
                <w:iCs/>
              </w:rPr>
              <w:t>,</w:t>
            </w:r>
            <w:r w:rsidRPr="00985543">
              <w:rPr>
                <w:rFonts w:ascii="PT Astra Serif" w:hAnsi="PT Astra Serif"/>
                <w:i/>
                <w:iCs/>
              </w:rPr>
              <w:t xml:space="preserve"> Vaccinium vitis-idaea</w:t>
            </w:r>
            <w:r w:rsidRPr="00985543">
              <w:rPr>
                <w:rFonts w:ascii="PT Astra Serif" w:hAnsi="PT Astra Serif"/>
                <w:color w:val="2E2E2E"/>
                <w:shd w:val="clear" w:color="auto" w:fill="FFFFFF"/>
              </w:rPr>
              <w:t>.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8A3B8C" w:rsidRPr="00985543" w:rsidRDefault="008A3B8C" w:rsidP="00985543">
            <w:pPr>
              <w:rPr>
                <w:rFonts w:ascii="PT Astra Serif" w:hAnsi="PT Astra Serif" w:cs="Times New Roman"/>
              </w:rPr>
            </w:pPr>
            <w:r w:rsidRPr="000728C2">
              <w:rPr>
                <w:rFonts w:ascii="PT Astra Serif" w:hAnsi="PT Astra Serif" w:cs="Times New Roman"/>
              </w:rPr>
              <w:t xml:space="preserve">УДК </w:t>
            </w:r>
            <w:r w:rsidR="000728C2" w:rsidRPr="000728C2">
              <w:rPr>
                <w:rFonts w:ascii="PT Astra Serif" w:hAnsi="PT Astra Serif" w:cs="Times New Roman"/>
              </w:rPr>
              <w:t>615.012.6:582.272(265.52)</w:t>
            </w:r>
            <w:r w:rsidR="000728C2" w:rsidRPr="002674A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 </w:t>
            </w:r>
            <w:r w:rsidR="000728C2">
              <w:rPr>
                <w:rFonts w:ascii="PT Astra Serif" w:hAnsi="PT Astra Serif" w:cs="Times New Roman"/>
                <w:color w:val="000000" w:themeColor="text1"/>
              </w:rPr>
              <w:t xml:space="preserve">            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                           </w:t>
            </w:r>
            <w:r w:rsidRPr="00985543">
              <w:rPr>
                <w:rFonts w:ascii="PT Astra Serif" w:hAnsi="PT Astra Serif" w:cs="Times New Roman"/>
                <w:color w:val="000000"/>
              </w:rPr>
              <w:t xml:space="preserve">      </w:t>
            </w:r>
            <w:r w:rsidRPr="00985543">
              <w:rPr>
                <w:rFonts w:ascii="PT Astra Serif" w:hAnsi="PT Astra Serif" w:cs="Times New Roman"/>
                <w:color w:val="000000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  <w:color w:val="000000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10.17217/2079-0333-2023-65-29-40</w:t>
            </w:r>
          </w:p>
          <w:p w:rsidR="008A3B8C" w:rsidRPr="00985543" w:rsidRDefault="008A3B8C" w:rsidP="00985543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8A3B8C" w:rsidRPr="00985543" w:rsidRDefault="008A3B8C" w:rsidP="00985543">
            <w:pPr>
              <w:jc w:val="center"/>
              <w:rPr>
                <w:rFonts w:ascii="PT Astra Serif" w:hAnsi="PT Astra Serif" w:cs="Times New Roman"/>
                <w:b/>
                <w:caps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b/>
                <w:caps/>
                <w:color w:val="000000" w:themeColor="text1"/>
              </w:rPr>
              <w:t>МОДУЛЯЦИЯ ФАГОЦИТАРНОЙ АКТИВНОСТИ НЕЙТРОФИЛОВ</w:t>
            </w:r>
            <w:r w:rsidRPr="00985543">
              <w:rPr>
                <w:rFonts w:ascii="PT Astra Serif" w:hAnsi="PT Astra Serif" w:cs="Times New Roman"/>
                <w:b/>
                <w:caps/>
                <w:color w:val="000000" w:themeColor="text1"/>
              </w:rPr>
              <w:br/>
              <w:t>препаратами из КАМЧАТСКИХ БУРЫХ ВОДОРОСЛЕЙ</w:t>
            </w:r>
          </w:p>
          <w:p w:rsidR="008A3B8C" w:rsidRPr="00985543" w:rsidRDefault="008A3B8C" w:rsidP="000728C2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8A3B8C" w:rsidRPr="00985543" w:rsidRDefault="008A3B8C" w:rsidP="000728C2">
            <w:pPr>
              <w:jc w:val="both"/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color w:val="000000" w:themeColor="text1"/>
              </w:rPr>
              <w:lastRenderedPageBreak/>
              <w:t>Перервенко О.В.</w:t>
            </w:r>
            <w:r w:rsidRPr="00985543">
              <w:rPr>
                <w:rFonts w:ascii="PT Astra Serif" w:hAnsi="PT Astra Serif" w:cs="Times New Roman"/>
                <w:color w:val="000000" w:themeColor="text1"/>
                <w:vertAlign w:val="superscript"/>
              </w:rPr>
              <w:t>1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, Меджидова Х.М.</w:t>
            </w:r>
            <w:r w:rsidRPr="00985543">
              <w:rPr>
                <w:rFonts w:ascii="PT Astra Serif" w:hAnsi="PT Astra Serif" w:cs="Times New Roman"/>
                <w:color w:val="000000" w:themeColor="text1"/>
                <w:vertAlign w:val="superscript"/>
              </w:rPr>
              <w:t>1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, Клочкова Н.Г.</w:t>
            </w:r>
            <w:r w:rsidRPr="00985543">
              <w:rPr>
                <w:rFonts w:ascii="PT Astra Serif" w:hAnsi="PT Astra Serif" w:cs="Times New Roman"/>
                <w:color w:val="000000" w:themeColor="text1"/>
                <w:vertAlign w:val="superscript"/>
              </w:rPr>
              <w:t>2</w:t>
            </w:r>
          </w:p>
          <w:p w:rsidR="008A3B8C" w:rsidRPr="00985543" w:rsidRDefault="008A3B8C" w:rsidP="000728C2">
            <w:pPr>
              <w:jc w:val="both"/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</w:p>
          <w:p w:rsidR="008A3B8C" w:rsidRPr="00985543" w:rsidRDefault="008A3B8C" w:rsidP="000728C2">
            <w:pPr>
              <w:jc w:val="both"/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color w:val="000000" w:themeColor="text1"/>
                <w:vertAlign w:val="superscript"/>
              </w:rPr>
              <w:t>1</w:t>
            </w:r>
            <w:bookmarkStart w:id="0" w:name="_Hlk106291386"/>
            <w:r w:rsidRPr="00985543">
              <w:rPr>
                <w:rFonts w:ascii="PT Astra Serif" w:hAnsi="PT Astra Serif" w:cs="Times New Roman"/>
                <w:color w:val="000000" w:themeColor="text1"/>
              </w:rPr>
              <w:t> Филиал № 2 ФГКУ «1477 Военно-морской клинический госпиталь», г. Петропавловск-Камчатский, ул. Аммональная падь, 1.</w:t>
            </w:r>
          </w:p>
          <w:bookmarkEnd w:id="0"/>
          <w:p w:rsidR="008A3B8C" w:rsidRPr="00985543" w:rsidRDefault="008A3B8C" w:rsidP="000728C2">
            <w:pPr>
              <w:jc w:val="both"/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color w:val="000000" w:themeColor="text1"/>
                <w:vertAlign w:val="superscript"/>
              </w:rPr>
              <w:t>2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 Камчатский филиал Тихоокеанского института географии ДВО РАН, г. Петропавловск-Камчатский, ул. Партизанская, 6.</w:t>
            </w:r>
          </w:p>
          <w:p w:rsidR="008A3B8C" w:rsidRPr="00985543" w:rsidRDefault="008A3B8C" w:rsidP="00985543">
            <w:pPr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</w:p>
          <w:p w:rsidR="008A3B8C" w:rsidRPr="00985543" w:rsidRDefault="008A3B8C" w:rsidP="00985543">
            <w:pPr>
              <w:jc w:val="both"/>
              <w:textAlignment w:val="baseline"/>
              <w:outlineLvl w:val="3"/>
              <w:rPr>
                <w:rFonts w:ascii="PT Astra Serif" w:hAnsi="PT Astra Serif" w:cs="Times New Roman"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Представлены результаты изучения влияния водорослевых препаратов – геля из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Hedophyllum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bongardianum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и экстрактов, полученных из морских бурых водорослей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H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.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bongardianum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,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Alaria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esculenta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Cs/>
                <w:color w:val="000000" w:themeColor="text1"/>
              </w:rPr>
              <w:t>и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Fucus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distichus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на модуляцию фагоцитарной активности нейтрофилов крови. В эксп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е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рименте приняли участие 16 добровольцев, которые ежедневно в течение 30 дней принимали по 15 г водорослевого геля. До и после эксперимента у них проводили забор крови для общего анализа и изучения уровня иммуномодуляции после праймирующего воздействия разноконцентрированных (0,5; 1; 2; 5%) растворов водорослевых экстрактов. Неспецифическую резистентность организма участников эксперимента оценивали по следующим показателям: фагоцитарная активность не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й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трофилов (ФАН), фагоцитарное число (ФЧ), абсолютный фагоцитарный показатель (АФП) и су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м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ма фагоцитоза (СФ). Наиболее высокое праймирующее воздействие на кровь обследованных лиц, взятую как до, так и после использования ими </w:t>
            </w:r>
            <w:r w:rsidRPr="00985543">
              <w:rPr>
                <w:rFonts w:ascii="PT Astra Serif" w:hAnsi="PT Astra Serif" w:cs="Times New Roman"/>
                <w:i/>
                <w:iCs/>
                <w:color w:val="000000" w:themeColor="text1"/>
                <w:lang w:val="en-US"/>
              </w:rPr>
              <w:t>per</w:t>
            </w:r>
            <w:r w:rsidRPr="00985543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iCs/>
                <w:color w:val="000000" w:themeColor="text1"/>
                <w:lang w:val="en-US"/>
              </w:rPr>
              <w:t>os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водорослевого геля, оказали водорослевые экстракты, разбавленные физиологическим раствором до концентрации 2%. Низкие концентрации (0,25 и 0,5%) не оказали стимулирующего воздействия. При разведении водорослевых экстрактов до 5% концентрации фагоцитоз заметно угнетался. После тридцатидневного приема геля ФАН у всех участников эксперимента увеличился в среднем на 23%, ФЧ – на 10%, АФП возрос от 2,1 до 42%. Иммуностимулирующий эффект оказался наибольшим для экстрактов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Alaria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наименьшим – для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Fucus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. 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>Результаты эксперимента позволяют рекомендовать препараты из камчатских бурых водорослей</w:t>
            </w:r>
            <w:r w:rsidRPr="00985543">
              <w:rPr>
                <w:rFonts w:ascii="PT Astra Serif" w:eastAsia="Calibri" w:hAnsi="PT Astra Serif" w:cs="Times New Roman"/>
                <w:color w:val="000000" w:themeColor="text1"/>
              </w:rPr>
              <w:t xml:space="preserve"> в качестве адаптогенов.</w:t>
            </w:r>
          </w:p>
          <w:p w:rsidR="008A3B8C" w:rsidRPr="00985543" w:rsidRDefault="008A3B8C" w:rsidP="00985543">
            <w:pPr>
              <w:rPr>
                <w:rFonts w:ascii="PT Astra Serif" w:hAnsi="PT Astra Serif" w:cs="Times New Roman"/>
                <w:b/>
                <w:bCs/>
                <w:color w:val="000000" w:themeColor="text1"/>
              </w:rPr>
            </w:pPr>
          </w:p>
          <w:p w:rsidR="008A3B8C" w:rsidRPr="00985543" w:rsidRDefault="008A3B8C" w:rsidP="00985543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985543">
              <w:rPr>
                <w:rFonts w:ascii="PT Astra Serif" w:hAnsi="PT Astra Serif" w:cs="Times New Roman"/>
                <w:b/>
                <w:bCs/>
                <w:color w:val="000000" w:themeColor="text1"/>
              </w:rPr>
              <w:t>Ключевые слова: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Alaria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esculenta</w:t>
            </w:r>
            <w:r w:rsidRPr="00985543">
              <w:rPr>
                <w:rFonts w:ascii="PT Astra Serif" w:hAnsi="PT Astra Serif" w:cs="Times New Roman"/>
                <w:color w:val="000000" w:themeColor="text1"/>
              </w:rPr>
              <w:t xml:space="preserve">,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Hedophyllum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bongardianum</w:t>
            </w:r>
            <w:bookmarkStart w:id="1" w:name="_Hlk104310765"/>
            <w:r w:rsidRPr="00985543">
              <w:rPr>
                <w:rFonts w:ascii="PT Astra Serif" w:hAnsi="PT Astra Serif" w:cs="Times New Roman"/>
                <w:color w:val="000000" w:themeColor="text1"/>
              </w:rPr>
              <w:t>,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</w:rPr>
              <w:t xml:space="preserve"> Fucus distichu</w:t>
            </w:r>
            <w:r w:rsidRPr="00985543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s</w:t>
            </w:r>
            <w:bookmarkEnd w:id="1"/>
            <w:r w:rsidRPr="00985543">
              <w:rPr>
                <w:rFonts w:ascii="PT Astra Serif" w:hAnsi="PT Astra Serif" w:cs="Times New Roman"/>
                <w:color w:val="000000" w:themeColor="text1"/>
              </w:rPr>
              <w:t>, водорослевый гель, Камчатка, нейтрофилы крови, праймирование, фагоцитарная активность, экстракты водорослей.</w:t>
            </w:r>
          </w:p>
          <w:p w:rsidR="009B52A1" w:rsidRPr="00985543" w:rsidRDefault="009B52A1" w:rsidP="00985543">
            <w:pPr>
              <w:jc w:val="both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8A3B8C" w:rsidRPr="00985543" w:rsidRDefault="008A3B8C" w:rsidP="00985543">
            <w:pPr>
              <w:widowControl w:val="0"/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lastRenderedPageBreak/>
              <w:t xml:space="preserve">УДК </w:t>
            </w:r>
            <w:r w:rsidRPr="00985543">
              <w:rPr>
                <w:rFonts w:ascii="PT Astra Serif" w:hAnsi="PT Astra Serif"/>
                <w:kern w:val="2"/>
              </w:rPr>
              <w:t>574.583:</w:t>
            </w:r>
            <w:r w:rsidRPr="00985543">
              <w:rPr>
                <w:rFonts w:ascii="PT Astra Serif" w:hAnsi="PT Astra Serif"/>
              </w:rPr>
              <w:t xml:space="preserve"> </w:t>
            </w:r>
            <w:r w:rsidRPr="00985543">
              <w:rPr>
                <w:rFonts w:ascii="PT Astra Serif" w:hAnsi="PT Astra Serif"/>
                <w:kern w:val="2"/>
              </w:rPr>
              <w:t xml:space="preserve">595.384.12(265.54)    </w:t>
            </w:r>
            <w:r w:rsidR="000728C2">
              <w:rPr>
                <w:rFonts w:ascii="PT Astra Serif" w:hAnsi="PT Astra Serif"/>
                <w:kern w:val="2"/>
              </w:rPr>
              <w:t xml:space="preserve">            </w:t>
            </w:r>
            <w:r w:rsidRPr="00985543">
              <w:rPr>
                <w:rFonts w:ascii="PT Astra Serif" w:hAnsi="PT Astra Serif"/>
                <w:kern w:val="2"/>
              </w:rPr>
              <w:t xml:space="preserve">                        </w:t>
            </w:r>
            <w:r w:rsidRPr="00985543">
              <w:rPr>
                <w:rFonts w:ascii="PT Astra Serif" w:hAnsi="PT Astra Serif" w:cs="Times New Roman"/>
              </w:rPr>
              <w:t xml:space="preserve">      </w:t>
            </w:r>
            <w:r w:rsidRPr="00985543">
              <w:rPr>
                <w:rFonts w:ascii="PT Astra Serif" w:hAnsi="PT Astra Serif" w:cs="Times New Roman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10.17217/2079-0333-2023-65-41-61</w:t>
            </w:r>
          </w:p>
          <w:p w:rsidR="008A3B8C" w:rsidRPr="00985543" w:rsidRDefault="008A3B8C" w:rsidP="00985543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8A3B8C" w:rsidRPr="00985543" w:rsidRDefault="008A3B8C" w:rsidP="00985543">
            <w:pPr>
              <w:widowControl w:val="0"/>
              <w:jc w:val="center"/>
              <w:rPr>
                <w:rFonts w:ascii="PT Astra Serif" w:hAnsi="PT Astra Serif"/>
                <w:b/>
                <w:i/>
                <w:caps/>
              </w:rPr>
            </w:pPr>
            <w:r w:rsidRPr="00985543">
              <w:rPr>
                <w:rFonts w:ascii="PT Astra Serif" w:hAnsi="PT Astra Serif"/>
                <w:b/>
                <w:caps/>
              </w:rPr>
              <w:t xml:space="preserve">Морфология личинок </w:t>
            </w:r>
            <w:r w:rsidRPr="00985543">
              <w:rPr>
                <w:rFonts w:ascii="PT Astra Serif" w:hAnsi="PT Astra Serif"/>
                <w:b/>
                <w:i/>
                <w:caps/>
                <w:lang w:val="en-US"/>
              </w:rPr>
              <w:t>Spirontocaris</w:t>
            </w:r>
            <w:r w:rsidRPr="00985543">
              <w:rPr>
                <w:rFonts w:ascii="PT Astra Serif" w:hAnsi="PT Astra Serif"/>
                <w:b/>
                <w:i/>
                <w:caps/>
              </w:rPr>
              <w:t xml:space="preserve"> </w:t>
            </w:r>
            <w:r w:rsidRPr="00985543">
              <w:rPr>
                <w:rFonts w:ascii="PT Astra Serif" w:hAnsi="PT Astra Serif"/>
                <w:b/>
                <w:i/>
                <w:caps/>
                <w:lang w:val="en-US"/>
              </w:rPr>
              <w:t>intermedia</w:t>
            </w:r>
            <w:r w:rsidRPr="00985543">
              <w:rPr>
                <w:rFonts w:ascii="PT Astra Serif" w:hAnsi="PT Astra Serif"/>
                <w:b/>
                <w:i/>
                <w:caps/>
              </w:rPr>
              <w:t xml:space="preserve"> </w:t>
            </w:r>
            <w:r w:rsidRPr="00985543">
              <w:rPr>
                <w:rFonts w:ascii="PT Astra Serif" w:hAnsi="PT Astra Serif"/>
                <w:b/>
                <w:caps/>
                <w:lang w:val="en-US"/>
              </w:rPr>
              <w:t>Makarov</w:t>
            </w:r>
            <w:r w:rsidRPr="00985543">
              <w:rPr>
                <w:rFonts w:ascii="PT Astra Serif" w:hAnsi="PT Astra Serif"/>
                <w:b/>
                <w:caps/>
              </w:rPr>
              <w:t xml:space="preserve">, </w:t>
            </w:r>
            <w:r w:rsidRPr="00985543">
              <w:rPr>
                <w:rFonts w:ascii="PT Astra Serif" w:hAnsi="PT Astra Serif"/>
                <w:b/>
                <w:caps/>
                <w:lang w:val="en-US"/>
              </w:rPr>
              <w:t>Kobjakova</w:t>
            </w:r>
            <w:r w:rsidRPr="00985543">
              <w:rPr>
                <w:rFonts w:ascii="PT Astra Serif" w:hAnsi="PT Astra Serif"/>
                <w:b/>
                <w:caps/>
              </w:rPr>
              <w:t>, 1936</w:t>
            </w:r>
            <w:r w:rsidRPr="00985543">
              <w:rPr>
                <w:rFonts w:ascii="PT Astra Serif" w:hAnsi="PT Astra Serif"/>
                <w:b/>
              </w:rPr>
              <w:t xml:space="preserve"> (</w:t>
            </w:r>
            <w:r w:rsidRPr="00985543">
              <w:rPr>
                <w:rFonts w:ascii="PT Astra Serif" w:hAnsi="PT Astra Serif"/>
                <w:b/>
                <w:lang w:val="en-US"/>
              </w:rPr>
              <w:t>DECAPODA</w:t>
            </w:r>
            <w:r w:rsidRPr="00985543">
              <w:rPr>
                <w:rFonts w:ascii="PT Astra Serif" w:hAnsi="PT Astra Serif"/>
                <w:b/>
              </w:rPr>
              <w:t xml:space="preserve">, </w:t>
            </w:r>
            <w:r w:rsidRPr="00985543">
              <w:rPr>
                <w:rFonts w:ascii="PT Astra Serif" w:hAnsi="PT Astra Serif"/>
                <w:b/>
                <w:lang w:val="en-US"/>
              </w:rPr>
              <w:t>THORIDAE</w:t>
            </w:r>
            <w:r w:rsidRPr="00985543">
              <w:rPr>
                <w:rFonts w:ascii="PT Astra Serif" w:hAnsi="PT Astra Serif"/>
                <w:b/>
              </w:rPr>
              <w:t xml:space="preserve">) </w:t>
            </w:r>
            <w:r w:rsidRPr="00985543">
              <w:rPr>
                <w:rFonts w:ascii="PT Astra Serif" w:hAnsi="PT Astra Serif"/>
                <w:b/>
                <w:caps/>
              </w:rPr>
              <w:t>из прикамчатских вод</w:t>
            </w:r>
          </w:p>
          <w:p w:rsidR="008A3B8C" w:rsidRPr="00985543" w:rsidRDefault="008A3B8C" w:rsidP="00985543">
            <w:pPr>
              <w:widowControl w:val="0"/>
              <w:jc w:val="center"/>
              <w:rPr>
                <w:rFonts w:ascii="PT Astra Serif" w:hAnsi="PT Astra Serif"/>
                <w:b/>
                <w:i/>
                <w:caps/>
              </w:rPr>
            </w:pPr>
          </w:p>
          <w:p w:rsidR="008A3B8C" w:rsidRPr="00985543" w:rsidRDefault="008A3B8C" w:rsidP="000728C2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</w:rPr>
              <w:t xml:space="preserve">Седова Н.А. </w:t>
            </w:r>
          </w:p>
          <w:p w:rsidR="008A3B8C" w:rsidRPr="00985543" w:rsidRDefault="008A3B8C" w:rsidP="000728C2">
            <w:pPr>
              <w:widowControl w:val="0"/>
              <w:jc w:val="both"/>
              <w:rPr>
                <w:rFonts w:ascii="PT Astra Serif" w:hAnsi="PT Astra Serif"/>
                <w:b/>
              </w:rPr>
            </w:pPr>
          </w:p>
          <w:p w:rsidR="008A3B8C" w:rsidRPr="00985543" w:rsidRDefault="008A3B8C" w:rsidP="000728C2">
            <w:pPr>
              <w:widowControl w:val="0"/>
              <w:jc w:val="both"/>
              <w:rPr>
                <w:rFonts w:ascii="PT Astra Serif" w:hAnsi="PT Astra Serif"/>
                <w:b/>
                <w:iCs/>
                <w:caps/>
              </w:rPr>
            </w:pPr>
            <w:r w:rsidRPr="00985543">
              <w:rPr>
                <w:rFonts w:ascii="PT Astra Serif" w:hAnsi="PT Astra Serif"/>
                <w:iCs/>
              </w:rPr>
              <w:t>Камчатский государственный технический университет, Петропавловск-Камчатский, ул. Ключе</w:t>
            </w:r>
            <w:r w:rsidRPr="00985543">
              <w:rPr>
                <w:rFonts w:ascii="PT Astra Serif" w:hAnsi="PT Astra Serif"/>
                <w:iCs/>
              </w:rPr>
              <w:t>в</w:t>
            </w:r>
            <w:r w:rsidRPr="00985543">
              <w:rPr>
                <w:rFonts w:ascii="PT Astra Serif" w:hAnsi="PT Astra Serif"/>
                <w:iCs/>
              </w:rPr>
              <w:t>ская, 35</w:t>
            </w:r>
          </w:p>
          <w:p w:rsidR="008A3B8C" w:rsidRPr="00985543" w:rsidRDefault="008A3B8C" w:rsidP="00985543">
            <w:pPr>
              <w:widowControl w:val="0"/>
              <w:jc w:val="center"/>
              <w:rPr>
                <w:rFonts w:ascii="PT Astra Serif" w:hAnsi="PT Astra Serif"/>
                <w:b/>
                <w:iCs/>
                <w:caps/>
              </w:rPr>
            </w:pPr>
          </w:p>
          <w:p w:rsidR="008A3B8C" w:rsidRPr="00985543" w:rsidRDefault="008A3B8C" w:rsidP="0098554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</w:rPr>
              <w:t xml:space="preserve">Из планктона прикамчатских вод выделены </w:t>
            </w:r>
            <w:r w:rsidRPr="00985543">
              <w:rPr>
                <w:rFonts w:ascii="PT Astra Serif" w:hAnsi="PT Astra Serif"/>
                <w:lang w:val="en-US"/>
              </w:rPr>
              <w:t>I</w:t>
            </w:r>
            <w:r w:rsidRPr="00985543">
              <w:rPr>
                <w:rFonts w:ascii="PT Astra Serif" w:hAnsi="PT Astra Serif"/>
              </w:rPr>
              <w:t>–</w:t>
            </w:r>
            <w:r w:rsidRPr="00985543">
              <w:rPr>
                <w:rFonts w:ascii="PT Astra Serif" w:hAnsi="PT Astra Serif"/>
                <w:lang w:val="en-US"/>
              </w:rPr>
              <w:t>VI</w:t>
            </w:r>
            <w:r w:rsidRPr="00985543">
              <w:rPr>
                <w:rFonts w:ascii="PT Astra Serif" w:hAnsi="PT Astra Serif"/>
              </w:rPr>
              <w:t xml:space="preserve"> стадии зоэа </w:t>
            </w:r>
            <w:r w:rsidRPr="00985543">
              <w:rPr>
                <w:rFonts w:ascii="PT Astra Serif" w:hAnsi="PT Astra Serif"/>
                <w:i/>
                <w:lang w:val="en-US"/>
              </w:rPr>
              <w:t>Spirontocaris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  <w:i/>
                <w:lang w:val="en-US"/>
              </w:rPr>
              <w:t>intermedia</w:t>
            </w:r>
            <w:r w:rsidRPr="00985543">
              <w:rPr>
                <w:rFonts w:ascii="PT Astra Serif" w:hAnsi="PT Astra Serif"/>
              </w:rPr>
              <w:t xml:space="preserve"> (сем. </w:t>
            </w:r>
            <w:r w:rsidRPr="00985543">
              <w:rPr>
                <w:rFonts w:ascii="PT Astra Serif" w:hAnsi="PT Astra Serif"/>
                <w:lang w:val="en-US"/>
              </w:rPr>
              <w:t>Thoridae</w:t>
            </w:r>
            <w:r w:rsidRPr="00985543">
              <w:rPr>
                <w:rFonts w:ascii="PT Astra Serif" w:hAnsi="PT Astra Serif"/>
              </w:rPr>
              <w:t>).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</w:rPr>
              <w:t>Выявлены основные морфологические различия личинок соответствующих стадий. Приведены описания и рисунки имеющихся стадий зоэа. Проведено сравнение личинок с близк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 xml:space="preserve">родственным видом </w:t>
            </w:r>
            <w:r w:rsidRPr="00985543">
              <w:rPr>
                <w:rFonts w:ascii="PT Astra Serif" w:hAnsi="PT Astra Serif"/>
                <w:i/>
                <w:lang w:val="en-US"/>
              </w:rPr>
              <w:t>S</w:t>
            </w:r>
            <w:r w:rsidRPr="00985543">
              <w:rPr>
                <w:rFonts w:ascii="PT Astra Serif" w:hAnsi="PT Astra Serif"/>
                <w:i/>
              </w:rPr>
              <w:t xml:space="preserve">. </w:t>
            </w:r>
            <w:r w:rsidRPr="00985543">
              <w:rPr>
                <w:rFonts w:ascii="PT Astra Serif" w:hAnsi="PT Astra Serif"/>
                <w:i/>
                <w:lang w:val="en-US"/>
              </w:rPr>
              <w:t>spinus</w:t>
            </w:r>
            <w:r w:rsidRPr="00985543">
              <w:rPr>
                <w:rFonts w:ascii="PT Astra Serif" w:hAnsi="PT Astra Serif"/>
              </w:rPr>
              <w:t xml:space="preserve">. О близком родстве </w:t>
            </w:r>
            <w:r w:rsidRPr="00985543">
              <w:rPr>
                <w:rFonts w:ascii="PT Astra Serif" w:hAnsi="PT Astra Serif"/>
                <w:i/>
              </w:rPr>
              <w:t>S. spin</w:t>
            </w:r>
            <w:r w:rsidRPr="00985543">
              <w:rPr>
                <w:rFonts w:ascii="PT Astra Serif" w:hAnsi="PT Astra Serif"/>
                <w:i/>
                <w:lang w:val="en-US"/>
              </w:rPr>
              <w:t>us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</w:rPr>
              <w:t>и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  <w:i/>
                <w:lang w:val="en-US"/>
              </w:rPr>
              <w:t>S</w:t>
            </w:r>
            <w:r w:rsidRPr="00985543">
              <w:rPr>
                <w:rFonts w:ascii="PT Astra Serif" w:hAnsi="PT Astra Serif"/>
                <w:i/>
              </w:rPr>
              <w:t xml:space="preserve">. </w:t>
            </w:r>
            <w:r w:rsidRPr="00985543">
              <w:rPr>
                <w:rFonts w:ascii="PT Astra Serif" w:hAnsi="PT Astra Serif"/>
                <w:i/>
                <w:lang w:val="en-US"/>
              </w:rPr>
              <w:t>intermedia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</w:rPr>
              <w:t>свидетельствуют сходные размеры личинок, строение максиллы, карапакса, плеона, переопод, уропод и тельсона. Имеются морфологические различия, не позволяющие отнести этих личинок к одному виду: длина ростр</w:t>
            </w:r>
            <w:r w:rsidRPr="00985543">
              <w:rPr>
                <w:rFonts w:ascii="PT Astra Serif" w:hAnsi="PT Astra Serif"/>
              </w:rPr>
              <w:t>у</w:t>
            </w:r>
            <w:r w:rsidRPr="00985543">
              <w:rPr>
                <w:rFonts w:ascii="PT Astra Serif" w:hAnsi="PT Astra Serif"/>
              </w:rPr>
              <w:t>ма, морфология плеоподов, максиллул, второй и третьей максиллипед, антеннул и антенн на соо</w:t>
            </w:r>
            <w:r w:rsidRPr="00985543">
              <w:rPr>
                <w:rFonts w:ascii="PT Astra Serif" w:hAnsi="PT Astra Serif"/>
              </w:rPr>
              <w:t>т</w:t>
            </w:r>
            <w:r w:rsidRPr="00985543">
              <w:rPr>
                <w:rFonts w:ascii="PT Astra Serif" w:hAnsi="PT Astra Serif"/>
              </w:rPr>
              <w:t xml:space="preserve">ветствующих стадиях развития, количество антеровентральных шипиков, а также гетерохрония в развитии конечностей </w:t>
            </w:r>
            <w:r w:rsidRPr="00985543">
              <w:rPr>
                <w:rFonts w:ascii="PT Astra Serif" w:hAnsi="PT Astra Serif"/>
                <w:i/>
              </w:rPr>
              <w:t>S. spin</w:t>
            </w:r>
            <w:r w:rsidRPr="00985543">
              <w:rPr>
                <w:rFonts w:ascii="PT Astra Serif" w:hAnsi="PT Astra Serif"/>
                <w:i/>
                <w:lang w:val="en-US"/>
              </w:rPr>
              <w:t>us</w:t>
            </w:r>
            <w:r w:rsidRPr="00985543">
              <w:rPr>
                <w:rFonts w:ascii="PT Astra Serif" w:hAnsi="PT Astra Serif"/>
              </w:rPr>
              <w:t>. Асимметрия строения характерна для карапакса, максиллулы, ма</w:t>
            </w:r>
            <w:r w:rsidRPr="00985543">
              <w:rPr>
                <w:rFonts w:ascii="PT Astra Serif" w:hAnsi="PT Astra Serif"/>
              </w:rPr>
              <w:t>к</w:t>
            </w:r>
            <w:r w:rsidRPr="00985543">
              <w:rPr>
                <w:rFonts w:ascii="PT Astra Serif" w:hAnsi="PT Astra Serif"/>
              </w:rPr>
              <w:t xml:space="preserve">силлы, первых максиллипед, скафоцерита. По степени развития большинства придатков заметно явное отставание в развитии </w:t>
            </w:r>
            <w:r w:rsidRPr="00985543">
              <w:rPr>
                <w:rFonts w:ascii="PT Astra Serif" w:hAnsi="PT Astra Serif"/>
                <w:i/>
                <w:lang w:val="en-US"/>
              </w:rPr>
              <w:t>S</w:t>
            </w:r>
            <w:r w:rsidRPr="00985543">
              <w:rPr>
                <w:rFonts w:ascii="PT Astra Serif" w:hAnsi="PT Astra Serif"/>
                <w:i/>
              </w:rPr>
              <w:t>. </w:t>
            </w:r>
            <w:r w:rsidRPr="00985543">
              <w:rPr>
                <w:rFonts w:ascii="PT Astra Serif" w:hAnsi="PT Astra Serif"/>
                <w:i/>
                <w:lang w:val="en-US"/>
              </w:rPr>
              <w:t>intermedia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</w:rPr>
              <w:t xml:space="preserve">по сравнению с </w:t>
            </w:r>
            <w:r w:rsidRPr="00985543">
              <w:rPr>
                <w:rFonts w:ascii="PT Astra Serif" w:hAnsi="PT Astra Serif"/>
                <w:i/>
              </w:rPr>
              <w:t>S. spin</w:t>
            </w:r>
            <w:r w:rsidRPr="00985543">
              <w:rPr>
                <w:rFonts w:ascii="PT Astra Serif" w:hAnsi="PT Astra Serif"/>
                <w:i/>
                <w:lang w:val="en-US"/>
              </w:rPr>
              <w:t>us</w:t>
            </w:r>
            <w:r w:rsidRPr="00985543">
              <w:rPr>
                <w:rFonts w:ascii="PT Astra Serif" w:hAnsi="PT Astra Serif"/>
              </w:rPr>
              <w:t xml:space="preserve">. Высказано предположение, что </w:t>
            </w:r>
            <w:r w:rsidRPr="00985543">
              <w:rPr>
                <w:rFonts w:ascii="PT Astra Serif" w:hAnsi="PT Astra Serif"/>
                <w:i/>
                <w:lang w:val="en-US"/>
              </w:rPr>
              <w:t>S</w:t>
            </w:r>
            <w:r w:rsidRPr="00985543">
              <w:rPr>
                <w:rFonts w:ascii="PT Astra Serif" w:hAnsi="PT Astra Serif"/>
                <w:i/>
              </w:rPr>
              <w:t xml:space="preserve">. </w:t>
            </w:r>
            <w:r w:rsidRPr="00985543">
              <w:rPr>
                <w:rFonts w:ascii="PT Astra Serif" w:hAnsi="PT Astra Serif"/>
                <w:i/>
                <w:lang w:val="en-US"/>
              </w:rPr>
              <w:t>intermedia</w:t>
            </w:r>
            <w:r w:rsidRPr="00985543">
              <w:rPr>
                <w:rFonts w:ascii="PT Astra Serif" w:hAnsi="PT Astra Serif"/>
              </w:rPr>
              <w:t xml:space="preserve"> развивается за 7 стадий зоэа.</w:t>
            </w:r>
          </w:p>
          <w:p w:rsidR="008A3B8C" w:rsidRPr="00985543" w:rsidRDefault="008A3B8C" w:rsidP="0098554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8A3B8C" w:rsidRPr="00985543" w:rsidRDefault="008A3B8C" w:rsidP="0098554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  <w:b/>
              </w:rPr>
              <w:t>Ключевые слова:</w:t>
            </w:r>
            <w:r w:rsidRPr="00985543">
              <w:rPr>
                <w:rFonts w:ascii="PT Astra Serif" w:hAnsi="PT Astra Serif"/>
              </w:rPr>
              <w:t xml:space="preserve"> креветки, </w:t>
            </w:r>
            <w:r w:rsidRPr="00985543">
              <w:rPr>
                <w:rFonts w:ascii="PT Astra Serif" w:hAnsi="PT Astra Serif"/>
                <w:highlight w:val="white"/>
              </w:rPr>
              <w:t xml:space="preserve">морфология личинок, </w:t>
            </w:r>
            <w:r w:rsidRPr="00985543">
              <w:rPr>
                <w:rFonts w:ascii="PT Astra Serif" w:hAnsi="PT Astra Serif"/>
                <w:kern w:val="2"/>
              </w:rPr>
              <w:t xml:space="preserve">северо-западная часть Тихого океана, Охотское море, </w:t>
            </w:r>
            <w:r w:rsidRPr="00985543">
              <w:rPr>
                <w:rFonts w:ascii="PT Astra Serif" w:hAnsi="PT Astra Serif"/>
                <w:i/>
                <w:lang w:val="en-US"/>
              </w:rPr>
              <w:t>Spirontocaris</w:t>
            </w:r>
            <w:r w:rsidRPr="00985543">
              <w:rPr>
                <w:rFonts w:ascii="PT Astra Serif" w:hAnsi="PT Astra Serif"/>
                <w:i/>
              </w:rPr>
              <w:t xml:space="preserve"> </w:t>
            </w:r>
            <w:r w:rsidRPr="00985543">
              <w:rPr>
                <w:rFonts w:ascii="PT Astra Serif" w:hAnsi="PT Astra Serif"/>
                <w:i/>
                <w:lang w:val="en-US"/>
              </w:rPr>
              <w:t>intermedia</w:t>
            </w:r>
            <w:r w:rsidRPr="00985543">
              <w:rPr>
                <w:rFonts w:ascii="PT Astra Serif" w:hAnsi="PT Astra Serif"/>
                <w:i/>
                <w:kern w:val="2"/>
              </w:rPr>
              <w:t xml:space="preserve">, </w:t>
            </w:r>
            <w:r w:rsidRPr="00985543">
              <w:rPr>
                <w:rFonts w:ascii="PT Astra Serif" w:hAnsi="PT Astra Serif"/>
                <w:i/>
                <w:lang w:val="en-US"/>
              </w:rPr>
              <w:t>Spirontocaris</w:t>
            </w:r>
            <w:r w:rsidRPr="00985543">
              <w:rPr>
                <w:rFonts w:ascii="PT Astra Serif" w:hAnsi="PT Astra Serif"/>
                <w:i/>
              </w:rPr>
              <w:t xml:space="preserve"> spin</w:t>
            </w:r>
            <w:r w:rsidRPr="00985543">
              <w:rPr>
                <w:rFonts w:ascii="PT Astra Serif" w:hAnsi="PT Astra Serif"/>
                <w:i/>
                <w:lang w:val="en-US"/>
              </w:rPr>
              <w:t>us</w:t>
            </w:r>
            <w:r w:rsidRPr="00985543">
              <w:rPr>
                <w:rFonts w:ascii="PT Astra Serif" w:hAnsi="PT Astra Serif"/>
              </w:rPr>
              <w:t>.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985543" w:rsidRPr="00985543" w:rsidRDefault="00985543" w:rsidP="00985543">
            <w:pPr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  <w:color w:val="000000"/>
              </w:rPr>
              <w:t xml:space="preserve">УДК </w:t>
            </w:r>
            <w:r w:rsidRPr="00985543">
              <w:rPr>
                <w:rFonts w:ascii="PT Astra Serif" w:hAnsi="PT Astra Serif"/>
              </w:rPr>
              <w:t xml:space="preserve">595.371:591.134.5          </w:t>
            </w:r>
            <w:r w:rsidR="000728C2">
              <w:rPr>
                <w:rFonts w:ascii="PT Astra Serif" w:hAnsi="PT Astra Serif"/>
              </w:rPr>
              <w:t xml:space="preserve">            </w:t>
            </w:r>
            <w:r w:rsidRPr="00985543">
              <w:rPr>
                <w:rFonts w:ascii="PT Astra Serif" w:hAnsi="PT Astra Serif"/>
              </w:rPr>
              <w:t xml:space="preserve">                                   </w:t>
            </w:r>
            <w:r w:rsidRPr="00985543">
              <w:rPr>
                <w:rFonts w:ascii="PT Astra Serif" w:hAnsi="PT Astra Serif" w:cs="Times New Roman"/>
                <w:color w:val="000000"/>
              </w:rPr>
              <w:t xml:space="preserve">      </w:t>
            </w:r>
            <w:r w:rsidRPr="00985543">
              <w:rPr>
                <w:rFonts w:ascii="PT Astra Serif" w:hAnsi="PT Astra Serif" w:cs="Times New Roman"/>
                <w:color w:val="000000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  <w:color w:val="000000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10.17217/2079-0333-2023-65-62-70</w:t>
            </w:r>
          </w:p>
          <w:p w:rsidR="00985543" w:rsidRPr="00985543" w:rsidRDefault="00985543" w:rsidP="00985543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985543" w:rsidRPr="00985543" w:rsidRDefault="00985543" w:rsidP="00985543">
            <w:pPr>
              <w:jc w:val="center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  <w:b/>
              </w:rPr>
              <w:t>ОЦЕНКА СТЕПЕНИ ВЛИЯНИЯ СПИРТА В КАЧЕСТВЕ ФИКСИРУЮЩЕГО РАСТВОРА НА МАССУ ТЕЛА БОКОПЛАВОВ (CRUSTACEA, AMPHIPODA)</w:t>
            </w:r>
          </w:p>
          <w:p w:rsidR="00985543" w:rsidRPr="00985543" w:rsidRDefault="00985543" w:rsidP="00985543">
            <w:pPr>
              <w:jc w:val="center"/>
              <w:rPr>
                <w:rFonts w:ascii="PT Astra Serif" w:hAnsi="PT Astra Serif"/>
                <w:b/>
              </w:rPr>
            </w:pPr>
          </w:p>
          <w:p w:rsidR="00985543" w:rsidRPr="00985543" w:rsidRDefault="00985543" w:rsidP="000728C2">
            <w:pPr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Асочаков А.А.</w:t>
            </w:r>
          </w:p>
          <w:p w:rsidR="00985543" w:rsidRPr="00985543" w:rsidRDefault="00985543" w:rsidP="000728C2">
            <w:pPr>
              <w:jc w:val="both"/>
              <w:rPr>
                <w:rFonts w:ascii="PT Astra Serif" w:hAnsi="PT Astra Serif"/>
              </w:rPr>
            </w:pPr>
          </w:p>
          <w:p w:rsidR="00985543" w:rsidRPr="00985543" w:rsidRDefault="00985543" w:rsidP="000728C2">
            <w:pPr>
              <w:pStyle w:val="1"/>
              <w:keepNext w:val="0"/>
              <w:widowControl w:val="0"/>
              <w:shd w:val="clear" w:color="auto" w:fill="FFFFFF"/>
              <w:suppressAutoHyphens/>
              <w:kinsoku w:val="0"/>
              <w:overflowPunct w:val="0"/>
              <w:spacing w:before="0" w:after="0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85543">
              <w:rPr>
                <w:rFonts w:ascii="PT Astra Serif" w:hAnsi="PT Astra Serif"/>
                <w:b w:val="0"/>
                <w:bCs w:val="0"/>
                <w:color w:val="000000"/>
                <w:sz w:val="22"/>
                <w:szCs w:val="22"/>
              </w:rPr>
              <w:t>Хакасский государственный университет им. Н.Ф. Катанова,</w:t>
            </w:r>
            <w:r w:rsidRPr="00985543">
              <w:rPr>
                <w:rFonts w:ascii="PT Astra Serif" w:hAnsi="PT Astra Serif"/>
                <w:b w:val="0"/>
                <w:color w:val="000000"/>
                <w:sz w:val="22"/>
                <w:szCs w:val="22"/>
              </w:rPr>
              <w:t xml:space="preserve"> г. Абакан, пр-кт Ленина, 90.</w:t>
            </w:r>
          </w:p>
          <w:p w:rsidR="00985543" w:rsidRPr="00985543" w:rsidRDefault="00985543" w:rsidP="00985543">
            <w:pPr>
              <w:rPr>
                <w:rFonts w:ascii="PT Astra Serif" w:hAnsi="PT Astra Serif"/>
                <w:bCs/>
                <w:color w:val="000000"/>
              </w:rPr>
            </w:pPr>
          </w:p>
          <w:p w:rsidR="00985543" w:rsidRPr="00985543" w:rsidRDefault="00985543" w:rsidP="00985543">
            <w:pPr>
              <w:spacing w:after="240"/>
              <w:jc w:val="both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</w:rPr>
              <w:t>Обсуждаются результаты экспериментов по оценке влияния фиксирующего раствора на массу тела трех видов бокоплавов:</w:t>
            </w:r>
            <w:r w:rsidRPr="00985543">
              <w:rPr>
                <w:rFonts w:ascii="PT Astra Serif" w:hAnsi="PT Astra Serif"/>
                <w:i/>
              </w:rPr>
              <w:t xml:space="preserve"> Locustogammarus l</w:t>
            </w:r>
            <w:r w:rsidRPr="00985543">
              <w:rPr>
                <w:rFonts w:ascii="PT Astra Serif" w:hAnsi="PT Astra Serif"/>
                <w:i/>
                <w:lang w:val="en-US"/>
              </w:rPr>
              <w:t>o</w:t>
            </w:r>
            <w:r w:rsidRPr="00985543">
              <w:rPr>
                <w:rFonts w:ascii="PT Astra Serif" w:hAnsi="PT Astra Serif"/>
                <w:i/>
              </w:rPr>
              <w:t>custoides</w:t>
            </w:r>
            <w:r w:rsidRPr="00985543">
              <w:rPr>
                <w:rFonts w:ascii="PT Astra Serif" w:hAnsi="PT Astra Serif"/>
              </w:rPr>
              <w:t xml:space="preserve"> (Brandt, 1851), </w:t>
            </w:r>
            <w:r w:rsidRPr="00985543">
              <w:rPr>
                <w:rFonts w:ascii="PT Astra Serif" w:hAnsi="PT Astra Serif"/>
                <w:i/>
              </w:rPr>
              <w:t>Orchestia ochotensis</w:t>
            </w:r>
            <w:r w:rsidRPr="00985543">
              <w:rPr>
                <w:rFonts w:ascii="PT Astra Serif" w:hAnsi="PT Astra Serif"/>
              </w:rPr>
              <w:t xml:space="preserve"> Brandt, 1851 и </w:t>
            </w:r>
            <w:r w:rsidRPr="00985543">
              <w:rPr>
                <w:rFonts w:ascii="PT Astra Serif" w:hAnsi="PT Astra Serif"/>
                <w:i/>
              </w:rPr>
              <w:t>Parhyale</w:t>
            </w:r>
            <w:r w:rsidRPr="00985543">
              <w:rPr>
                <w:rFonts w:ascii="PT Astra Serif" w:hAnsi="PT Astra Serif"/>
              </w:rPr>
              <w:t xml:space="preserve"> </w:t>
            </w:r>
            <w:r w:rsidRPr="00985543">
              <w:rPr>
                <w:rFonts w:ascii="PT Astra Serif" w:hAnsi="PT Astra Serif"/>
                <w:i/>
              </w:rPr>
              <w:t>zibellina</w:t>
            </w:r>
            <w:r w:rsidRPr="00985543">
              <w:rPr>
                <w:rFonts w:ascii="PT Astra Serif" w:hAnsi="PT Astra Serif"/>
              </w:rPr>
              <w:t xml:space="preserve"> Derzhavin, 1937. Основной задачей явилось выяснение степени влияния 70%-го раствора этилового спирта на массу рачков в процессе длительного хранения. По итогам наблюдений было выяснено, что за период консервации 16 лет и 3 месяца средняя масса тела ос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бей первых двух видов снизилась на 21 и 26% соответственно относительно ее начальных показ</w:t>
            </w:r>
            <w:r w:rsidRPr="00985543">
              <w:rPr>
                <w:rFonts w:ascii="PT Astra Serif" w:hAnsi="PT Astra Serif"/>
              </w:rPr>
              <w:t>а</w:t>
            </w:r>
            <w:r w:rsidRPr="00985543">
              <w:rPr>
                <w:rFonts w:ascii="PT Astra Serif" w:hAnsi="PT Astra Serif"/>
              </w:rPr>
              <w:t xml:space="preserve">телей. Для особей </w:t>
            </w:r>
            <w:r w:rsidRPr="00985543">
              <w:rPr>
                <w:rFonts w:ascii="PT Astra Serif" w:hAnsi="PT Astra Serif"/>
                <w:i/>
                <w:lang w:val="en-US"/>
              </w:rPr>
              <w:t>P</w:t>
            </w:r>
            <w:r w:rsidRPr="00985543">
              <w:rPr>
                <w:rFonts w:ascii="PT Astra Serif" w:hAnsi="PT Astra Serif"/>
                <w:i/>
              </w:rPr>
              <w:t>.</w:t>
            </w:r>
            <w:r w:rsidRPr="00985543">
              <w:rPr>
                <w:rFonts w:ascii="PT Astra Serif" w:hAnsi="PT Astra Serif"/>
                <w:i/>
                <w:lang w:val="en-US"/>
              </w:rPr>
              <w:t> z</w:t>
            </w:r>
            <w:r w:rsidRPr="00985543">
              <w:rPr>
                <w:rFonts w:ascii="PT Astra Serif" w:hAnsi="PT Astra Serif"/>
                <w:i/>
              </w:rPr>
              <w:t>ibellina</w:t>
            </w:r>
            <w:r w:rsidRPr="00985543">
              <w:rPr>
                <w:rFonts w:ascii="PT Astra Serif" w:hAnsi="PT Astra Serif"/>
              </w:rPr>
              <w:t xml:space="preserve"> снижение массы за период хранения в растворе 13 лет составило 18%. Обсуждается необходимость учета влияние спиртосодержащих растворов на массу тела б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коплавов. Это особенно важно для тех исследований, где весовые показатели используются в кач</w:t>
            </w:r>
            <w:r w:rsidRPr="00985543">
              <w:rPr>
                <w:rFonts w:ascii="PT Astra Serif" w:hAnsi="PT Astra Serif"/>
              </w:rPr>
              <w:t>е</w:t>
            </w:r>
            <w:r w:rsidRPr="00985543">
              <w:rPr>
                <w:rFonts w:ascii="PT Astra Serif" w:hAnsi="PT Astra Serif"/>
              </w:rPr>
              <w:t>стве исходных или промежуточных данных. К ним можно отнести оценивание показателей биол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гической продукции, выяснение интенсивности энергетического обмена, моделирование процессов роста и т. п. Для восстановления значений первичной массы бокоплавов, хранившихся в зафикс</w:t>
            </w:r>
            <w:r w:rsidRPr="00985543">
              <w:rPr>
                <w:rFonts w:ascii="PT Astra Serif" w:hAnsi="PT Astra Serif"/>
              </w:rPr>
              <w:t>и</w:t>
            </w:r>
            <w:r w:rsidRPr="00985543">
              <w:rPr>
                <w:rFonts w:ascii="PT Astra Serif" w:hAnsi="PT Astra Serif"/>
              </w:rPr>
              <w:t>рованном виде, предлагается использовать поправочные коэффициенты.</w:t>
            </w:r>
          </w:p>
          <w:p w:rsidR="00985543" w:rsidRPr="00985543" w:rsidRDefault="00985543" w:rsidP="00985543">
            <w:pPr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  <w:b/>
              </w:rPr>
              <w:t>Ключевые слова:</w:t>
            </w:r>
            <w:r w:rsidRPr="00985543">
              <w:rPr>
                <w:rFonts w:ascii="PT Astra Serif" w:hAnsi="PT Astra Serif"/>
              </w:rPr>
              <w:t xml:space="preserve"> вес особей, масса тела, размерно-весовая зависимость, </w:t>
            </w:r>
            <w:r w:rsidRPr="00985543">
              <w:rPr>
                <w:rFonts w:ascii="PT Astra Serif" w:hAnsi="PT Astra Serif"/>
                <w:lang w:val="en-US"/>
              </w:rPr>
              <w:t>Amphipoda</w:t>
            </w:r>
            <w:r w:rsidRPr="00985543">
              <w:rPr>
                <w:rFonts w:ascii="PT Astra Serif" w:hAnsi="PT Astra Serif"/>
              </w:rPr>
              <w:t xml:space="preserve">, </w:t>
            </w:r>
            <w:r w:rsidRPr="00985543">
              <w:rPr>
                <w:rFonts w:ascii="PT Astra Serif" w:hAnsi="PT Astra Serif"/>
                <w:lang w:val="en-US"/>
              </w:rPr>
              <w:t>Crustacea</w:t>
            </w:r>
            <w:r w:rsidRPr="00985543">
              <w:rPr>
                <w:rFonts w:ascii="PT Astra Serif" w:hAnsi="PT Astra Serif"/>
              </w:rPr>
              <w:t>.</w:t>
            </w:r>
          </w:p>
          <w:p w:rsidR="009B52A1" w:rsidRPr="00985543" w:rsidRDefault="009B52A1" w:rsidP="00985543">
            <w:pPr>
              <w:jc w:val="both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985543" w:rsidRPr="00985543" w:rsidRDefault="00985543" w:rsidP="00985543">
            <w:pPr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/>
              </w:rPr>
              <w:lastRenderedPageBreak/>
              <w:t>УДК [591.9:598.2]:639.2(571.66)(571.645)</w:t>
            </w:r>
            <w:r w:rsidRPr="00985543">
              <w:rPr>
                <w:rFonts w:ascii="PT Astra Serif" w:hAnsi="PT Astra Serif" w:cs="Times New Roman"/>
              </w:rPr>
              <w:t xml:space="preserve">         </w:t>
            </w:r>
            <w:r w:rsidR="000728C2">
              <w:rPr>
                <w:rFonts w:ascii="PT Astra Serif" w:hAnsi="PT Astra Serif" w:cs="Times New Roman"/>
              </w:rPr>
              <w:t xml:space="preserve">            </w:t>
            </w:r>
            <w:r w:rsidRPr="00985543">
              <w:rPr>
                <w:rFonts w:ascii="PT Astra Serif" w:hAnsi="PT Astra Serif" w:cs="Times New Roman"/>
              </w:rPr>
              <w:t xml:space="preserve">           </w:t>
            </w:r>
            <w:r w:rsidRPr="00985543">
              <w:rPr>
                <w:rFonts w:ascii="PT Astra Serif" w:hAnsi="PT Astra Serif" w:cs="Times New Roman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10.17217/2079-0333-2023-65-71-86</w:t>
            </w:r>
          </w:p>
          <w:p w:rsidR="00985543" w:rsidRPr="00985543" w:rsidRDefault="00985543" w:rsidP="00985543">
            <w:pPr>
              <w:rPr>
                <w:rFonts w:ascii="PT Astra Serif" w:hAnsi="PT Astra Serif"/>
              </w:rPr>
            </w:pPr>
          </w:p>
          <w:p w:rsidR="00985543" w:rsidRPr="00985543" w:rsidRDefault="00985543" w:rsidP="00985543">
            <w:pPr>
              <w:jc w:val="center"/>
              <w:rPr>
                <w:rFonts w:ascii="PT Astra Serif" w:hAnsi="PT Astra Serif"/>
                <w:b/>
                <w:caps/>
              </w:rPr>
            </w:pPr>
            <w:r w:rsidRPr="00985543">
              <w:rPr>
                <w:rFonts w:ascii="PT Astra Serif" w:hAnsi="PT Astra Serif"/>
                <w:b/>
                <w:caps/>
              </w:rPr>
              <w:t xml:space="preserve">Население морских птиц на траловом промысле минтая </w:t>
            </w:r>
            <w:r w:rsidRPr="00985543">
              <w:rPr>
                <w:rFonts w:ascii="PT Astra Serif" w:hAnsi="PT Astra Serif"/>
                <w:b/>
                <w:caps/>
              </w:rPr>
              <w:br/>
              <w:t xml:space="preserve">в тихоокеанских водах Камчатки </w:t>
            </w:r>
            <w:r w:rsidRPr="00985543">
              <w:rPr>
                <w:rFonts w:ascii="PT Astra Serif" w:hAnsi="PT Astra Serif"/>
                <w:b/>
                <w:caps/>
              </w:rPr>
              <w:br/>
              <w:t>и Северных Курильских островов в позднеосенний период</w:t>
            </w:r>
          </w:p>
          <w:p w:rsidR="00985543" w:rsidRPr="00985543" w:rsidRDefault="00985543" w:rsidP="00985543">
            <w:pPr>
              <w:rPr>
                <w:rFonts w:ascii="PT Astra Serif" w:hAnsi="PT Astra Serif"/>
                <w:b/>
                <w:caps/>
              </w:rPr>
            </w:pPr>
          </w:p>
          <w:p w:rsidR="00985543" w:rsidRPr="00985543" w:rsidRDefault="00985543" w:rsidP="000728C2">
            <w:pPr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Артюхин Ю.Б.</w:t>
            </w:r>
          </w:p>
          <w:p w:rsidR="00985543" w:rsidRPr="00985543" w:rsidRDefault="00985543" w:rsidP="000728C2">
            <w:pPr>
              <w:jc w:val="both"/>
              <w:rPr>
                <w:rFonts w:ascii="PT Astra Serif" w:hAnsi="PT Astra Serif"/>
              </w:rPr>
            </w:pPr>
          </w:p>
          <w:p w:rsidR="00985543" w:rsidRPr="00985543" w:rsidRDefault="00985543" w:rsidP="000728C2">
            <w:pPr>
              <w:jc w:val="both"/>
              <w:rPr>
                <w:rFonts w:ascii="PT Astra Serif" w:hAnsi="PT Astra Serif"/>
              </w:rPr>
            </w:pPr>
            <w:bookmarkStart w:id="2" w:name="_Hlk104377026"/>
            <w:r w:rsidRPr="00985543">
              <w:rPr>
                <w:rFonts w:ascii="PT Astra Serif" w:hAnsi="PT Astra Serif"/>
              </w:rPr>
              <w:t>Камчатский филиал Тихоокеанского института географии ДВО РАН, г. Петропавловск-Камчатский, проспект Рыбаков, 19а.</w:t>
            </w:r>
            <w:bookmarkEnd w:id="2"/>
          </w:p>
          <w:p w:rsidR="00985543" w:rsidRPr="00985543" w:rsidRDefault="00985543" w:rsidP="00985543">
            <w:pPr>
              <w:rPr>
                <w:rFonts w:ascii="PT Astra Serif" w:hAnsi="PT Astra Serif"/>
              </w:rPr>
            </w:pPr>
          </w:p>
          <w:p w:rsidR="00985543" w:rsidRPr="00985543" w:rsidRDefault="00985543" w:rsidP="00985543">
            <w:pPr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Исследования проводили в октябре – декабре 2022 г. в тихоокеанских водах Юго-Восточной Ка</w:t>
            </w:r>
            <w:r w:rsidRPr="00985543">
              <w:rPr>
                <w:rFonts w:ascii="PT Astra Serif" w:hAnsi="PT Astra Serif"/>
              </w:rPr>
              <w:t>м</w:t>
            </w:r>
            <w:r w:rsidRPr="00985543">
              <w:rPr>
                <w:rFonts w:ascii="PT Astra Serif" w:hAnsi="PT Astra Serif"/>
              </w:rPr>
              <w:t xml:space="preserve">чатки и Северных Курильских о-вов </w:t>
            </w:r>
            <w:r w:rsidRPr="00985543">
              <w:rPr>
                <w:rFonts w:ascii="PT Astra Serif" w:hAnsi="PT Astra Serif"/>
                <w:lang w:val="en-US"/>
              </w:rPr>
              <w:t>c</w:t>
            </w:r>
            <w:r w:rsidRPr="00985543">
              <w:rPr>
                <w:rFonts w:ascii="PT Astra Serif" w:hAnsi="PT Astra Serif"/>
              </w:rPr>
              <w:t xml:space="preserve"> борта среднетоннажного траулера, занятого промыслом минтая. Учитывали морских птиц на трансектных маршрутах на переходах и в околосудовых ск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плениях во время промысловых операций. Всего зарегистрировано 28 видов, в основном чайковых и чистиковых. Средняя плотность распределения на обследованной акватории – 25,8 особей/км</w:t>
            </w:r>
            <w:r w:rsidRPr="00985543">
              <w:rPr>
                <w:rFonts w:ascii="PT Astra Serif" w:hAnsi="PT Astra Serif"/>
                <w:vertAlign w:val="superscript"/>
              </w:rPr>
              <w:t>2</w:t>
            </w:r>
            <w:r w:rsidRPr="00985543">
              <w:rPr>
                <w:rFonts w:ascii="PT Astra Serif" w:hAnsi="PT Astra Serif"/>
              </w:rPr>
              <w:t>. В количественном выражении преобладали чистиковые (58,6%) и буревестниковые (27,4%). Бол</w:t>
            </w:r>
            <w:r w:rsidRPr="00985543">
              <w:rPr>
                <w:rFonts w:ascii="PT Astra Serif" w:hAnsi="PT Astra Serif"/>
              </w:rPr>
              <w:t>ь</w:t>
            </w:r>
            <w:r w:rsidRPr="00985543">
              <w:rPr>
                <w:rFonts w:ascii="PT Astra Serif" w:hAnsi="PT Astra Serif"/>
              </w:rPr>
              <w:t>шинство трубконосых и чайковых птиц (15 видов), кочующих в районах промысла, концентрир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вались у траулера, куда их привлекали отходы переработки уловов. Самыми массовыми были гл</w:t>
            </w:r>
            <w:r w:rsidRPr="00985543">
              <w:rPr>
                <w:rFonts w:ascii="PT Astra Serif" w:hAnsi="PT Astra Serif"/>
              </w:rPr>
              <w:t>у</w:t>
            </w:r>
            <w:r w:rsidRPr="00985543">
              <w:rPr>
                <w:rFonts w:ascii="PT Astra Serif" w:hAnsi="PT Astra Serif"/>
              </w:rPr>
              <w:t>пыш и тонкоклювый буревестник, численность которых доходила до 20 и 5 тыс. особей соответственно. Величина скоплений значительно менялась в течение промысла. Население мо</w:t>
            </w:r>
            <w:r w:rsidRPr="00985543">
              <w:rPr>
                <w:rFonts w:ascii="PT Astra Serif" w:hAnsi="PT Astra Serif"/>
              </w:rPr>
              <w:t>р</w:t>
            </w:r>
            <w:r w:rsidRPr="00985543">
              <w:rPr>
                <w:rFonts w:ascii="PT Astra Serif" w:hAnsi="PT Astra Serif"/>
              </w:rPr>
              <w:t>ских птиц имело переходный характер, так как состояло из местных видов, еще продолжавших держаться в районах гнездования, а также пролетных и прибывающих сюда на зимовку из других регионов.</w:t>
            </w:r>
          </w:p>
          <w:p w:rsidR="00985543" w:rsidRPr="00985543" w:rsidRDefault="00985543" w:rsidP="00985543">
            <w:pPr>
              <w:rPr>
                <w:rFonts w:ascii="PT Astra Serif" w:hAnsi="PT Astra Serif"/>
              </w:rPr>
            </w:pPr>
          </w:p>
          <w:p w:rsidR="00985543" w:rsidRPr="00985543" w:rsidRDefault="00985543" w:rsidP="00985543">
            <w:pPr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  <w:b/>
              </w:rPr>
              <w:t>Ключевые слова:</w:t>
            </w:r>
            <w:r w:rsidRPr="00985543">
              <w:rPr>
                <w:rFonts w:ascii="PT Astra Serif" w:hAnsi="PT Astra Serif"/>
              </w:rPr>
              <w:t xml:space="preserve"> Курильские острова, морские птицы, население птиц, распределение, судовые учеты, численность, Юго-Восточная Камчатка.</w:t>
            </w:r>
          </w:p>
          <w:p w:rsidR="009B52A1" w:rsidRPr="00985543" w:rsidRDefault="009B52A1" w:rsidP="00985543">
            <w:pPr>
              <w:jc w:val="both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985543" w:rsidRPr="00985543" w:rsidRDefault="00985543" w:rsidP="00985543">
            <w:pPr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 xml:space="preserve">УДК 598.279.24(571.66)            </w:t>
            </w:r>
            <w:r w:rsidR="000728C2">
              <w:rPr>
                <w:rFonts w:ascii="PT Astra Serif" w:hAnsi="PT Astra Serif" w:cs="Times New Roman"/>
              </w:rPr>
              <w:t xml:space="preserve">            </w:t>
            </w:r>
            <w:r w:rsidRPr="00985543">
              <w:rPr>
                <w:rFonts w:ascii="PT Astra Serif" w:hAnsi="PT Astra Serif" w:cs="Times New Roman"/>
              </w:rPr>
              <w:t xml:space="preserve">                                   </w:t>
            </w:r>
            <w:r w:rsidRPr="00985543">
              <w:rPr>
                <w:rFonts w:ascii="PT Astra Serif" w:hAnsi="PT Astra Serif" w:cs="Times New Roman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10.17217/2079-0333-2023-65-87-110</w:t>
            </w:r>
          </w:p>
          <w:p w:rsidR="00985543" w:rsidRPr="00985543" w:rsidRDefault="00985543" w:rsidP="00985543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 w:cs="Times New Roman"/>
                <w:b/>
                <w:caps/>
              </w:rPr>
            </w:pPr>
            <w:r w:rsidRPr="00985543">
              <w:rPr>
                <w:rFonts w:ascii="PT Astra Serif" w:hAnsi="PT Astra Serif" w:cs="Times New Roman"/>
                <w:b/>
                <w:caps/>
              </w:rPr>
              <w:t xml:space="preserve">РЕВИЗИЯ ФАУНЫ ПТИЦ ДОЛИНЫ ГЕЙЗЕРОВ НА КАМЧАТКЕ: </w:t>
            </w:r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985543">
              <w:rPr>
                <w:rFonts w:ascii="PT Astra Serif" w:hAnsi="PT Astra Serif" w:cs="Times New Roman"/>
                <w:b/>
                <w:caps/>
              </w:rPr>
              <w:t>видовой состав, ОСОБЕННОСТИ ЭКОЛОГИИ</w:t>
            </w: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 w:cs="Times New Roman"/>
              </w:rPr>
            </w:pP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>Лобков Е.Г.</w:t>
            </w: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 w:cs="Times New Roman"/>
              </w:rPr>
            </w:pP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>Камчатский государственный технический университет, г. Петропавловск-Камчатский, ул. Кл</w:t>
            </w:r>
            <w:r w:rsidRPr="00985543">
              <w:rPr>
                <w:rFonts w:ascii="PT Astra Serif" w:hAnsi="PT Astra Serif" w:cs="Times New Roman"/>
              </w:rPr>
              <w:t>ю</w:t>
            </w:r>
            <w:r w:rsidRPr="00985543">
              <w:rPr>
                <w:rFonts w:ascii="PT Astra Serif" w:hAnsi="PT Astra Serif" w:cs="Times New Roman"/>
              </w:rPr>
              <w:t>чевская, 35.</w:t>
            </w: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 w:cs="Times New Roman"/>
              </w:rPr>
            </w:pPr>
          </w:p>
          <w:p w:rsidR="00985543" w:rsidRPr="00985543" w:rsidRDefault="00985543" w:rsidP="00985543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>Подведены итоги изучения птиц Долины гейзеров за последние 50 лет. По результатам новейшей инвентаризации авифауна насчитывает 91 вид (53 гнездящихся). Специфических для района видов нет. Находка и статус американского горного вьюрка (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Leucosticte</w:t>
            </w:r>
            <w:r w:rsidRPr="00985543">
              <w:rPr>
                <w:rFonts w:ascii="PT Astra Serif" w:hAnsi="PT Astra Serif" w:cs="Times New Roman"/>
                <w:i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tephrocotis</w:t>
            </w:r>
            <w:r w:rsidRPr="00985543">
              <w:rPr>
                <w:rFonts w:ascii="PT Astra Serif" w:hAnsi="PT Astra Serif" w:cs="Times New Roman"/>
              </w:rPr>
              <w:t>) требуют надежного обоснования. Высокие показатели видового разнообразия птиц на небольшой площади (31,5 км</w:t>
            </w:r>
            <w:r w:rsidRPr="00985543">
              <w:rPr>
                <w:rFonts w:ascii="PT Astra Serif" w:hAnsi="PT Astra Serif" w:cs="Times New Roman"/>
                <w:vertAlign w:val="superscript"/>
              </w:rPr>
              <w:t>2</w:t>
            </w:r>
            <w:r w:rsidRPr="00985543">
              <w:rPr>
                <w:rFonts w:ascii="PT Astra Serif" w:hAnsi="PT Astra Serif" w:cs="Times New Roman"/>
              </w:rPr>
              <w:t>) объясняется биотопическим разнообразием местности, благодаря геотермальной активности на границе лесной и субальпийской растительности. Средневзвешенный показатель плотности нас</w:t>
            </w:r>
            <w:r w:rsidRPr="00985543">
              <w:rPr>
                <w:rFonts w:ascii="PT Astra Serif" w:hAnsi="PT Astra Serif" w:cs="Times New Roman"/>
              </w:rPr>
              <w:t>е</w:t>
            </w:r>
            <w:r w:rsidRPr="00985543">
              <w:rPr>
                <w:rFonts w:ascii="PT Astra Serif" w:hAnsi="PT Astra Serif" w:cs="Times New Roman"/>
              </w:rPr>
              <w:t>ления птиц 211,8 пар/км</w:t>
            </w:r>
            <w:r w:rsidRPr="00985543">
              <w:rPr>
                <w:rFonts w:ascii="PT Astra Serif" w:hAnsi="PT Astra Serif" w:cs="Times New Roman"/>
                <w:vertAlign w:val="superscript"/>
              </w:rPr>
              <w:t>2</w:t>
            </w:r>
            <w:r w:rsidRPr="00985543">
              <w:rPr>
                <w:rFonts w:ascii="PT Astra Serif" w:hAnsi="PT Astra Serif" w:cs="Times New Roman"/>
              </w:rPr>
              <w:t>. Его облик – субальпийский с небольшой долей лесных видов. В Красные книги России и (или) Камчатки занесены 12 видов. Наиболее значимы регулярные зимовки горн</w:t>
            </w:r>
            <w:r w:rsidRPr="00985543">
              <w:rPr>
                <w:rFonts w:ascii="PT Astra Serif" w:hAnsi="PT Astra Serif" w:cs="Times New Roman"/>
              </w:rPr>
              <w:t>о</w:t>
            </w:r>
            <w:r w:rsidRPr="00985543">
              <w:rPr>
                <w:rFonts w:ascii="PT Astra Serif" w:hAnsi="PT Astra Serif" w:cs="Times New Roman"/>
              </w:rPr>
              <w:t>го дупеля (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Gallinago</w:t>
            </w:r>
            <w:r w:rsidRPr="00985543">
              <w:rPr>
                <w:rFonts w:ascii="PT Astra Serif" w:hAnsi="PT Astra Serif" w:cs="Times New Roman"/>
                <w:i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solitaria</w:t>
            </w:r>
            <w:r w:rsidRPr="00985543">
              <w:rPr>
                <w:rFonts w:ascii="PT Astra Serif" w:hAnsi="PT Astra Serif" w:cs="Times New Roman"/>
              </w:rPr>
              <w:t>), возможное размножение беркута (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Aquila</w:t>
            </w:r>
            <w:r w:rsidRPr="00985543">
              <w:rPr>
                <w:rFonts w:ascii="PT Astra Serif" w:hAnsi="PT Astra Serif" w:cs="Times New Roman"/>
                <w:i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chrysaet</w:t>
            </w:r>
            <w:r w:rsidRPr="00985543">
              <w:rPr>
                <w:rFonts w:ascii="PT Astra Serif" w:hAnsi="PT Astra Serif" w:cs="Times New Roman"/>
                <w:i/>
              </w:rPr>
              <w:t>о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s</w:t>
            </w:r>
            <w:r w:rsidRPr="00985543">
              <w:rPr>
                <w:rFonts w:ascii="PT Astra Serif" w:hAnsi="PT Astra Serif" w:cs="Times New Roman"/>
              </w:rPr>
              <w:t>) и сапсана (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Fa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l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co</w:t>
            </w:r>
            <w:r w:rsidRPr="00985543">
              <w:rPr>
                <w:rFonts w:ascii="PT Astra Serif" w:hAnsi="PT Astra Serif" w:cs="Times New Roman"/>
                <w:i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peregrinus</w:t>
            </w:r>
            <w:r w:rsidRPr="00985543">
              <w:rPr>
                <w:rFonts w:ascii="PT Astra Serif" w:hAnsi="PT Astra Serif" w:cs="Times New Roman"/>
              </w:rPr>
              <w:t>), фоновый статус овсянки-ремеза (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Ocyris</w:t>
            </w:r>
            <w:r w:rsidRPr="00985543">
              <w:rPr>
                <w:rFonts w:ascii="PT Astra Serif" w:hAnsi="PT Astra Serif" w:cs="Times New Roman"/>
                <w:i/>
              </w:rPr>
              <w:t xml:space="preserve"> </w:t>
            </w:r>
            <w:r w:rsidRPr="00985543">
              <w:rPr>
                <w:rFonts w:ascii="PT Astra Serif" w:hAnsi="PT Astra Serif" w:cs="Times New Roman"/>
                <w:i/>
                <w:lang w:val="en-US"/>
              </w:rPr>
              <w:t>rusticus</w:t>
            </w:r>
            <w:r w:rsidRPr="00985543">
              <w:rPr>
                <w:rFonts w:ascii="PT Astra Serif" w:hAnsi="PT Astra Serif" w:cs="Times New Roman"/>
              </w:rPr>
              <w:t>). Селевой поток, прошедший по д</w:t>
            </w:r>
            <w:r w:rsidRPr="00985543">
              <w:rPr>
                <w:rFonts w:ascii="PT Astra Serif" w:hAnsi="PT Astra Serif" w:cs="Times New Roman"/>
              </w:rPr>
              <w:t>о</w:t>
            </w:r>
            <w:r w:rsidRPr="00985543">
              <w:rPr>
                <w:rFonts w:ascii="PT Astra Serif" w:hAnsi="PT Astra Serif" w:cs="Times New Roman"/>
              </w:rPr>
              <w:t>лине Гейзерной 7 июня 2007 г., оказал катастрофическое воздействие на природный облик центральной части Долины гейзеров. Обсуждаются варианты его последствий на птиц. Геоте</w:t>
            </w:r>
            <w:r w:rsidRPr="00985543">
              <w:rPr>
                <w:rFonts w:ascii="PT Astra Serif" w:hAnsi="PT Astra Serif" w:cs="Times New Roman"/>
              </w:rPr>
              <w:t>р</w:t>
            </w:r>
            <w:r w:rsidRPr="00985543">
              <w:rPr>
                <w:rFonts w:ascii="PT Astra Serif" w:hAnsi="PT Astra Serif" w:cs="Times New Roman"/>
              </w:rPr>
              <w:t>мальная активность определяет возможность зимовки ряда видов в суровых условиях субальпики, сдвиг сроков периодических явлений в жизни птиц, в том числе более раннее размножение, во</w:t>
            </w:r>
            <w:r w:rsidRPr="00985543">
              <w:rPr>
                <w:rFonts w:ascii="PT Astra Serif" w:hAnsi="PT Astra Serif" w:cs="Times New Roman"/>
              </w:rPr>
              <w:t>з</w:t>
            </w:r>
            <w:r w:rsidRPr="00985543">
              <w:rPr>
                <w:rFonts w:ascii="PT Astra Serif" w:hAnsi="PT Astra Serif" w:cs="Times New Roman"/>
              </w:rPr>
              <w:t xml:space="preserve">можность гнездования на экстремально прогретом грунте, поведенческие особенности в процессе насиживания и другие особенности экологии птиц. </w:t>
            </w: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 w:cs="Times New Roman"/>
              </w:rPr>
            </w:pPr>
          </w:p>
          <w:p w:rsidR="00985543" w:rsidRPr="00985543" w:rsidRDefault="00985543" w:rsidP="00985543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r w:rsidRPr="00985543">
              <w:rPr>
                <w:rFonts w:ascii="PT Astra Serif" w:hAnsi="PT Astra Serif" w:cs="Times New Roman"/>
              </w:rPr>
              <w:t>авифауна, Долина гейзеров, геотермальная активность, Камчатка, население птиц, сель, систематический список видов, экологические адаптации.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</w:rPr>
            </w:pPr>
          </w:p>
        </w:tc>
      </w:tr>
      <w:tr w:rsidR="009B52A1" w:rsidRPr="00985543" w:rsidTr="000728C2">
        <w:trPr>
          <w:jc w:val="center"/>
        </w:trPr>
        <w:tc>
          <w:tcPr>
            <w:tcW w:w="9606" w:type="dxa"/>
          </w:tcPr>
          <w:p w:rsidR="00985543" w:rsidRPr="00985543" w:rsidRDefault="00985543" w:rsidP="00985543">
            <w:pPr>
              <w:rPr>
                <w:rFonts w:ascii="PT Astra Serif" w:hAnsi="PT Astra Serif" w:cs="Times New Roman"/>
              </w:rPr>
            </w:pPr>
            <w:r w:rsidRPr="00985543">
              <w:rPr>
                <w:rFonts w:ascii="PT Astra Serif" w:hAnsi="PT Astra Serif" w:cs="Times New Roman"/>
              </w:rPr>
              <w:t xml:space="preserve">УДК </w:t>
            </w:r>
            <w:r w:rsidRPr="00985543">
              <w:rPr>
                <w:rFonts w:ascii="PT Astra Serif" w:hAnsi="PT Astra Serif"/>
                <w:bCs/>
              </w:rPr>
              <w:t xml:space="preserve">574.632:597.552.511(265.51)       </w:t>
            </w:r>
            <w:r w:rsidR="000728C2">
              <w:rPr>
                <w:rFonts w:ascii="PT Astra Serif" w:hAnsi="PT Astra Serif"/>
                <w:bCs/>
              </w:rPr>
              <w:t xml:space="preserve">            </w:t>
            </w:r>
            <w:r w:rsidRPr="00985543">
              <w:rPr>
                <w:rFonts w:ascii="PT Astra Serif" w:hAnsi="PT Astra Serif"/>
                <w:bCs/>
              </w:rPr>
              <w:t xml:space="preserve">                </w:t>
            </w:r>
            <w:r w:rsidRPr="00985543">
              <w:rPr>
                <w:rFonts w:ascii="PT Astra Serif" w:hAnsi="PT Astra Serif" w:cs="Times New Roman"/>
              </w:rPr>
              <w:t xml:space="preserve">      </w:t>
            </w:r>
            <w:r w:rsidRPr="00985543">
              <w:rPr>
                <w:rFonts w:ascii="PT Astra Serif" w:hAnsi="PT Astra Serif" w:cs="Times New Roman"/>
                <w:lang w:val="en-US"/>
              </w:rPr>
              <w:t>DOI</w:t>
            </w:r>
            <w:r w:rsidRPr="00985543">
              <w:rPr>
                <w:rFonts w:ascii="PT Astra Serif" w:hAnsi="PT Astra Serif" w:cs="Times New Roman"/>
              </w:rPr>
              <w:t xml:space="preserve">: </w:t>
            </w:r>
            <w:r w:rsidRPr="00985543">
              <w:rPr>
                <w:rFonts w:ascii="PT Astra Serif" w:hAnsi="PT Astra Serif" w:cs="Times New Roman"/>
                <w:iCs/>
              </w:rPr>
              <w:t>10.17217/2079-0333-2023-65-111-122</w:t>
            </w:r>
          </w:p>
          <w:p w:rsidR="00985543" w:rsidRPr="00985543" w:rsidRDefault="00985543" w:rsidP="00985543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  <w:b/>
              </w:rPr>
              <w:t xml:space="preserve">ПОЛОВЫЕ РАЗЛИЧИЯ В СОДЕРЖАНИИ МИКРОЭЛЕМЕНТОВ В ОРГАНАХ </w:t>
            </w:r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85543">
              <w:rPr>
                <w:rFonts w:ascii="PT Astra Serif" w:hAnsi="PT Astra Serif"/>
                <w:b/>
              </w:rPr>
              <w:t>И ТКАНЯХ НЕРКИ ИЗ ВОСТОЧНЫХ ЗАЛИВОВ ПОЛУОСТРОВА КАМЧАТКА</w:t>
            </w:r>
            <w:r w:rsidRPr="00985543">
              <w:rPr>
                <w:rStyle w:val="aa"/>
                <w:rFonts w:ascii="PT Astra Serif" w:hAnsi="PT Astra Serif"/>
                <w:b/>
              </w:rPr>
              <w:footnoteReference w:customMarkFollows="1" w:id="1"/>
              <w:sym w:font="Symbol" w:char="F02A"/>
            </w:r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985543">
              <w:rPr>
                <w:rFonts w:ascii="PT Astra Serif" w:hAnsi="PT Astra Serif"/>
                <w:bCs/>
              </w:rPr>
              <w:t>Литвиненко А.В.</w:t>
            </w:r>
            <w:r w:rsidRPr="00985543">
              <w:rPr>
                <w:rFonts w:ascii="PT Astra Serif" w:hAnsi="PT Astra Serif"/>
                <w:bCs/>
                <w:vertAlign w:val="superscript"/>
              </w:rPr>
              <w:t>1</w:t>
            </w:r>
            <w:r w:rsidRPr="00985543">
              <w:rPr>
                <w:rFonts w:ascii="PT Astra Serif" w:hAnsi="PT Astra Serif"/>
                <w:bCs/>
              </w:rPr>
              <w:t>, Салимзянова К.Р.</w:t>
            </w:r>
            <w:r w:rsidRPr="00985543">
              <w:rPr>
                <w:rFonts w:ascii="PT Astra Serif" w:hAnsi="PT Astra Serif"/>
                <w:bCs/>
                <w:vertAlign w:val="superscript"/>
              </w:rPr>
              <w:t>1</w:t>
            </w:r>
            <w:r w:rsidRPr="00985543">
              <w:rPr>
                <w:rFonts w:ascii="PT Astra Serif" w:hAnsi="PT Astra Serif"/>
                <w:bCs/>
              </w:rPr>
              <w:t>, Христофорова Н.К.</w:t>
            </w:r>
            <w:r w:rsidRPr="00985543">
              <w:rPr>
                <w:rFonts w:ascii="PT Astra Serif" w:hAnsi="PT Astra Serif"/>
                <w:bCs/>
                <w:vertAlign w:val="superscript"/>
              </w:rPr>
              <w:t>1, 2, 3</w:t>
            </w:r>
            <w:r w:rsidRPr="00985543">
              <w:rPr>
                <w:rFonts w:ascii="PT Astra Serif" w:hAnsi="PT Astra Serif"/>
                <w:bCs/>
              </w:rPr>
              <w:t>, Данилин Д.Д.</w:t>
            </w:r>
            <w:r w:rsidRPr="00985543">
              <w:rPr>
                <w:rFonts w:ascii="PT Astra Serif" w:hAnsi="PT Astra Serif"/>
                <w:bCs/>
                <w:vertAlign w:val="superscript"/>
              </w:rPr>
              <w:t>4</w:t>
            </w:r>
            <w:r w:rsidRPr="00985543">
              <w:rPr>
                <w:rFonts w:ascii="PT Astra Serif" w:hAnsi="PT Astra Serif"/>
                <w:bCs/>
              </w:rPr>
              <w:t>, Цыганков В.Ю.</w:t>
            </w:r>
            <w:r w:rsidRPr="00985543">
              <w:rPr>
                <w:rFonts w:ascii="PT Astra Serif" w:hAnsi="PT Astra Serif"/>
                <w:bCs/>
                <w:vertAlign w:val="superscript"/>
              </w:rPr>
              <w:t>2</w:t>
            </w: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/>
                <w:bCs/>
              </w:rPr>
            </w:pP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bookmarkStart w:id="3" w:name="_Hlk126527924"/>
            <w:r w:rsidRPr="00985543">
              <w:rPr>
                <w:rFonts w:ascii="PT Astra Serif" w:hAnsi="PT Astra Serif"/>
                <w:bCs/>
                <w:vertAlign w:val="superscript"/>
              </w:rPr>
              <w:t>1</w:t>
            </w:r>
            <w:r w:rsidRPr="00985543">
              <w:rPr>
                <w:rFonts w:ascii="PT Astra Serif" w:hAnsi="PT Astra Serif"/>
                <w:bCs/>
              </w:rPr>
              <w:t> Сахалинский государственный университет, г. Южно-Сахалинск, Коммунистический пр-кт, 33.</w:t>
            </w: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985543">
              <w:rPr>
                <w:rFonts w:ascii="PT Astra Serif" w:hAnsi="PT Astra Serif"/>
                <w:bCs/>
                <w:vertAlign w:val="superscript"/>
              </w:rPr>
              <w:t>2</w:t>
            </w:r>
            <w:r w:rsidRPr="00985543">
              <w:rPr>
                <w:rFonts w:ascii="PT Astra Serif" w:hAnsi="PT Astra Serif"/>
                <w:bCs/>
              </w:rPr>
              <w:t> Дальневосточный федеральный университет, г. Владивосток, о. Русский, п. Аякс, 10.</w:t>
            </w: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985543">
              <w:rPr>
                <w:rFonts w:ascii="PT Astra Serif" w:hAnsi="PT Astra Serif"/>
                <w:bCs/>
                <w:vertAlign w:val="superscript"/>
              </w:rPr>
              <w:t>3</w:t>
            </w:r>
            <w:r w:rsidRPr="00985543">
              <w:rPr>
                <w:rFonts w:ascii="PT Astra Serif" w:hAnsi="PT Astra Serif"/>
                <w:bCs/>
              </w:rPr>
              <w:t> Тихоокеанский институт географии ДВО РАН, г. Владивосток, ул. Радио, 7.</w:t>
            </w:r>
          </w:p>
          <w:p w:rsidR="00985543" w:rsidRPr="00985543" w:rsidRDefault="00985543" w:rsidP="000728C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985543">
              <w:rPr>
                <w:rFonts w:ascii="PT Astra Serif" w:hAnsi="PT Astra Serif"/>
                <w:bCs/>
                <w:vertAlign w:val="superscript"/>
              </w:rPr>
              <w:t>4</w:t>
            </w:r>
            <w:r w:rsidRPr="00985543">
              <w:rPr>
                <w:rFonts w:ascii="PT Astra Serif" w:hAnsi="PT Astra Serif"/>
                <w:bCs/>
              </w:rPr>
              <w:t> Камчатский филиал Тихоокеанского института географии РАН, г. Петропавловск-Камчатский, ул. Партизанская, 6.</w:t>
            </w:r>
            <w:bookmarkEnd w:id="3"/>
          </w:p>
          <w:p w:rsidR="00985543" w:rsidRPr="00985543" w:rsidRDefault="00985543" w:rsidP="00985543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985543" w:rsidRPr="00985543" w:rsidRDefault="00985543" w:rsidP="00985543">
            <w:pPr>
              <w:widowControl w:val="0"/>
              <w:jc w:val="both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</w:rPr>
              <w:t>Изучено содержание эссенциальных (Cu, Zn, Fe) и неэссенциальных (Cd, Pb, Ni) элементов, я</w:t>
            </w:r>
            <w:r w:rsidRPr="00985543">
              <w:rPr>
                <w:rFonts w:ascii="PT Astra Serif" w:hAnsi="PT Astra Serif"/>
              </w:rPr>
              <w:t>в</w:t>
            </w:r>
            <w:r w:rsidRPr="00985543">
              <w:rPr>
                <w:rFonts w:ascii="PT Astra Serif" w:hAnsi="PT Astra Serif"/>
              </w:rPr>
              <w:t>ляющихся следовыми и тяжелыми металлами, в органах и тканях одного из самых популярных и предпочитаемых потребителями видов тихоокеанских лососей – нерки, входящей в тройку наиб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лее значимых объектов в промысле лососевых на Дальнем Востоке России, выловленной в водах двух заливов на востоке Камчатки – Авачинского и Камчатского. Акцент сделан на половых пр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дуктах – икре и семенниках рыб. Концентрации элементов определены атомно-абсорбционным методом на спектрофотометре Shimadzu AA-7000 на пламенном и беспламенном атомизаторах из минерализатов проб, полученных при их разложении концентрированной HNO</w:t>
            </w:r>
            <w:r w:rsidRPr="00985543">
              <w:rPr>
                <w:rFonts w:ascii="PT Astra Serif" w:hAnsi="PT Astra Serif"/>
                <w:vertAlign w:val="subscript"/>
              </w:rPr>
              <w:t>3</w:t>
            </w:r>
            <w:r w:rsidRPr="00985543">
              <w:rPr>
                <w:rFonts w:ascii="PT Astra Serif" w:hAnsi="PT Astra Serif"/>
              </w:rPr>
              <w:t xml:space="preserve"> марки ОСЧ в ми</w:t>
            </w:r>
            <w:r w:rsidRPr="00985543">
              <w:rPr>
                <w:rFonts w:ascii="PT Astra Serif" w:hAnsi="PT Astra Serif"/>
              </w:rPr>
              <w:t>к</w:t>
            </w:r>
            <w:r w:rsidRPr="00985543">
              <w:rPr>
                <w:rFonts w:ascii="PT Astra Serif" w:hAnsi="PT Astra Serif"/>
              </w:rPr>
              <w:t>роволновом комплексе MARS 6, с использованием стандартных образцов с известными конце</w:t>
            </w:r>
            <w:r w:rsidRPr="00985543">
              <w:rPr>
                <w:rFonts w:ascii="PT Astra Serif" w:hAnsi="PT Astra Serif"/>
              </w:rPr>
              <w:t>н</w:t>
            </w:r>
            <w:r w:rsidRPr="00985543">
              <w:rPr>
                <w:rFonts w:ascii="PT Astra Serif" w:hAnsi="PT Astra Serif"/>
              </w:rPr>
              <w:t>трациями. Статистическая обработка данных выполнена в программе MS Excel. Обнаружено, что концентрация меди в икре была в десятки раз выше, чем в семенниках, уровни содержания Zn в гонадах рыб отличалось в два раза, различия в количестве Fe были менее выраженными. Закон</w:t>
            </w:r>
            <w:r w:rsidRPr="00985543">
              <w:rPr>
                <w:rFonts w:ascii="PT Astra Serif" w:hAnsi="PT Astra Serif"/>
              </w:rPr>
              <w:t>о</w:t>
            </w:r>
            <w:r w:rsidRPr="00985543">
              <w:rPr>
                <w:rFonts w:ascii="PT Astra Serif" w:hAnsi="PT Astra Serif"/>
              </w:rPr>
              <w:t>мерностей в распределении Cd, Ni и Pb в половых продуктах рыб не наблюдалось. Содержание микроэлементов, кроме Pb, как правило, преобладало в печени.</w:t>
            </w: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/>
              </w:rPr>
            </w:pPr>
          </w:p>
          <w:p w:rsidR="00985543" w:rsidRPr="00985543" w:rsidRDefault="00985543" w:rsidP="00985543">
            <w:pPr>
              <w:widowControl w:val="0"/>
              <w:rPr>
                <w:rFonts w:ascii="PT Astra Serif" w:hAnsi="PT Astra Serif"/>
              </w:rPr>
            </w:pPr>
            <w:r w:rsidRPr="00985543">
              <w:rPr>
                <w:rFonts w:ascii="PT Astra Serif" w:hAnsi="PT Astra Serif"/>
                <w:b/>
                <w:bCs/>
              </w:rPr>
              <w:t>Ключевые слова:</w:t>
            </w:r>
            <w:r w:rsidRPr="00985543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r w:rsidRPr="00985543">
              <w:rPr>
                <w:rFonts w:ascii="PT Astra Serif" w:hAnsi="PT Astra Serif"/>
              </w:rPr>
              <w:t>Восточная Камчатка, нерка, органы и ткани, тяжелые металлы, эссенциальные микроэлементы.</w:t>
            </w:r>
          </w:p>
          <w:p w:rsidR="009B52A1" w:rsidRPr="00985543" w:rsidRDefault="009B52A1" w:rsidP="0098554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B52A1" w:rsidRPr="00985543" w:rsidRDefault="009B52A1" w:rsidP="00985543">
      <w:pPr>
        <w:spacing w:line="240" w:lineRule="auto"/>
        <w:jc w:val="center"/>
        <w:rPr>
          <w:rFonts w:ascii="PT Astra Serif" w:hAnsi="PT Astra Serif"/>
        </w:rPr>
      </w:pPr>
    </w:p>
    <w:sectPr w:rsidR="009B52A1" w:rsidRPr="00985543" w:rsidSect="000728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43" w:rsidRDefault="00985543" w:rsidP="00985543">
      <w:pPr>
        <w:spacing w:after="0" w:line="240" w:lineRule="auto"/>
      </w:pPr>
      <w:r>
        <w:separator/>
      </w:r>
    </w:p>
  </w:endnote>
  <w:endnote w:type="continuationSeparator" w:id="0">
    <w:p w:rsidR="00985543" w:rsidRDefault="00985543" w:rsidP="009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43" w:rsidRDefault="00985543" w:rsidP="00985543">
      <w:pPr>
        <w:spacing w:after="0" w:line="240" w:lineRule="auto"/>
      </w:pPr>
      <w:r>
        <w:separator/>
      </w:r>
    </w:p>
  </w:footnote>
  <w:footnote w:type="continuationSeparator" w:id="0">
    <w:p w:rsidR="00985543" w:rsidRDefault="00985543" w:rsidP="00985543">
      <w:pPr>
        <w:spacing w:after="0" w:line="240" w:lineRule="auto"/>
      </w:pPr>
      <w:r>
        <w:continuationSeparator/>
      </w:r>
    </w:p>
  </w:footnote>
  <w:footnote w:id="1">
    <w:p w:rsidR="00985543" w:rsidRPr="00E72A00" w:rsidRDefault="00985543" w:rsidP="00985543">
      <w:pPr>
        <w:pStyle w:val="FootnoteText"/>
        <w:jc w:val="both"/>
        <w:rPr>
          <w:rFonts w:ascii="PT Astra Serif" w:hAnsi="PT Astra Serif"/>
        </w:rPr>
      </w:pPr>
      <w:r w:rsidRPr="00E72A00">
        <w:rPr>
          <w:rStyle w:val="aa"/>
          <w:rFonts w:ascii="PT Astra Serif" w:hAnsi="PT Astra Serif"/>
        </w:rPr>
        <w:sym w:font="Symbol" w:char="F02A"/>
      </w:r>
      <w:r w:rsidRPr="00E72A00">
        <w:rPr>
          <w:rFonts w:ascii="PT Astra Serif" w:hAnsi="PT Astra Serif"/>
        </w:rPr>
        <w:t> </w:t>
      </w:r>
      <w:r w:rsidRPr="00E72A00">
        <w:rPr>
          <w:rFonts w:ascii="PT Astra Serif" w:hAnsi="PT Astra Serif"/>
          <w:iCs/>
        </w:rPr>
        <w:t xml:space="preserve">Работа выполнена при финансовой поддержке РНФ (соглашение № 22-24-00465).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A1"/>
    <w:rsid w:val="000703B1"/>
    <w:rsid w:val="000728C2"/>
    <w:rsid w:val="001B3ADC"/>
    <w:rsid w:val="003B7D27"/>
    <w:rsid w:val="004A39F1"/>
    <w:rsid w:val="008A3B8C"/>
    <w:rsid w:val="00985543"/>
    <w:rsid w:val="009B52A1"/>
    <w:rsid w:val="009E231D"/>
    <w:rsid w:val="00AB7F9D"/>
    <w:rsid w:val="00C14D10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0"/>
  </w:style>
  <w:style w:type="paragraph" w:styleId="1">
    <w:name w:val="heading 1"/>
    <w:basedOn w:val="a"/>
    <w:next w:val="a"/>
    <w:link w:val="10"/>
    <w:uiPriority w:val="99"/>
    <w:qFormat/>
    <w:rsid w:val="0098554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qFormat/>
    <w:locked/>
    <w:rsid w:val="009B52A1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qFormat/>
    <w:locked/>
    <w:rsid w:val="009B52A1"/>
  </w:style>
  <w:style w:type="character" w:customStyle="1" w:styleId="a8">
    <w:name w:val="Обычный (веб) Знак"/>
    <w:link w:val="a9"/>
    <w:uiPriority w:val="99"/>
    <w:qFormat/>
    <w:locked/>
    <w:rsid w:val="009B52A1"/>
    <w:rPr>
      <w:rFonts w:ascii="Tahoma" w:hAnsi="Tahoma" w:cs="Tahoma"/>
      <w:color w:val="515151"/>
      <w:sz w:val="16"/>
      <w:szCs w:val="16"/>
    </w:rPr>
  </w:style>
  <w:style w:type="paragraph" w:styleId="a5">
    <w:name w:val="Body Text"/>
    <w:basedOn w:val="a"/>
    <w:link w:val="a4"/>
    <w:rsid w:val="009B52A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B52A1"/>
  </w:style>
  <w:style w:type="paragraph" w:styleId="a9">
    <w:name w:val="Normal (Web)"/>
    <w:basedOn w:val="a"/>
    <w:link w:val="a8"/>
    <w:uiPriority w:val="99"/>
    <w:qFormat/>
    <w:rsid w:val="009B52A1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7">
    <w:name w:val="No Spacing"/>
    <w:link w:val="a6"/>
    <w:qFormat/>
    <w:rsid w:val="009B52A1"/>
    <w:pPr>
      <w:suppressAutoHyphens/>
      <w:spacing w:after="0" w:line="240" w:lineRule="auto"/>
      <w:jc w:val="both"/>
    </w:pPr>
  </w:style>
  <w:style w:type="character" w:customStyle="1" w:styleId="q4iawc">
    <w:name w:val="q4iawc"/>
    <w:basedOn w:val="a0"/>
    <w:rsid w:val="008A3B8C"/>
  </w:style>
  <w:style w:type="character" w:customStyle="1" w:styleId="10">
    <w:name w:val="Заголовок 1 Знак"/>
    <w:basedOn w:val="a0"/>
    <w:link w:val="1"/>
    <w:uiPriority w:val="99"/>
    <w:rsid w:val="00985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y2iqfc">
    <w:name w:val="y2iqfc"/>
    <w:rsid w:val="00985543"/>
  </w:style>
  <w:style w:type="character" w:styleId="aa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985543"/>
    <w:rPr>
      <w:vertAlign w:val="superscript"/>
    </w:rPr>
  </w:style>
  <w:style w:type="paragraph" w:customStyle="1" w:styleId="FootnoteText">
    <w:name w:val="Footnote Text"/>
    <w:basedOn w:val="a"/>
    <w:uiPriority w:val="99"/>
    <w:unhideWhenUsed/>
    <w:rsid w:val="0098554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3</cp:revision>
  <dcterms:created xsi:type="dcterms:W3CDTF">2023-09-24T23:30:00Z</dcterms:created>
  <dcterms:modified xsi:type="dcterms:W3CDTF">2023-09-28T00:12:00Z</dcterms:modified>
</cp:coreProperties>
</file>