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B26119" w:rsidRDefault="003D3E73" w:rsidP="003D3E73">
      <w:pPr>
        <w:jc w:val="center"/>
        <w:rPr>
          <w:rFonts w:ascii="PT Astra Serif" w:hAnsi="PT Astra Serif"/>
          <w:b/>
        </w:rPr>
      </w:pPr>
      <w:r w:rsidRPr="00B26119">
        <w:rPr>
          <w:rFonts w:ascii="PT Astra Serif" w:hAnsi="PT Astra Serif"/>
          <w:b/>
        </w:rPr>
        <w:t>Вестник 53</w:t>
      </w:r>
    </w:p>
    <w:p w:rsidR="003D3E73" w:rsidRPr="00B26119" w:rsidRDefault="003D3E73" w:rsidP="003D3E73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УДК 621.313:004.9                  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10.17217/2079-0333-2020-53-6-15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  <w:bCs/>
                <w:caps/>
              </w:rPr>
            </w:pPr>
            <w:r w:rsidRPr="00B26119">
              <w:rPr>
                <w:rFonts w:ascii="PT Astra Serif" w:hAnsi="PT Astra Serif" w:cs="Times New Roman"/>
                <w:b/>
                <w:bCs/>
                <w:caps/>
              </w:rPr>
              <w:t xml:space="preserve">Построение компьютерной модели гребной электрической </w:t>
            </w:r>
            <w:r w:rsidRPr="00B26119">
              <w:rPr>
                <w:rFonts w:ascii="PT Astra Serif" w:hAnsi="PT Astra Serif" w:cs="Times New Roman"/>
                <w:b/>
                <w:bCs/>
                <w:caps/>
              </w:rPr>
              <w:br/>
              <w:t>устано</w:t>
            </w:r>
            <w:r w:rsidRPr="00B26119">
              <w:rPr>
                <w:rFonts w:ascii="PT Astra Serif" w:hAnsi="PT Astra Serif" w:cs="Times New Roman"/>
                <w:b/>
                <w:bCs/>
                <w:caps/>
              </w:rPr>
              <w:t>в</w:t>
            </w:r>
            <w:r w:rsidRPr="00B26119">
              <w:rPr>
                <w:rFonts w:ascii="PT Astra Serif" w:hAnsi="PT Astra Serif" w:cs="Times New Roman"/>
                <w:b/>
                <w:bCs/>
                <w:caps/>
              </w:rPr>
              <w:t xml:space="preserve">ки по системе Генератор </w:t>
            </w:r>
            <w:r w:rsidRPr="00B26119">
              <w:rPr>
                <w:rFonts w:ascii="PT Astra Serif" w:hAnsi="PT Astra Serif" w:cs="Times New Roman"/>
                <w:b/>
              </w:rPr>
              <w:t>−</w:t>
            </w:r>
            <w:r w:rsidRPr="00B26119">
              <w:rPr>
                <w:rFonts w:ascii="PT Astra Serif" w:hAnsi="PT Astra Serif" w:cs="Times New Roman"/>
              </w:rPr>
              <w:t xml:space="preserve"> </w:t>
            </w:r>
            <w:r w:rsidRPr="00B26119">
              <w:rPr>
                <w:rFonts w:ascii="PT Astra Serif" w:hAnsi="PT Astra Serif" w:cs="Times New Roman"/>
                <w:b/>
                <w:bCs/>
                <w:caps/>
              </w:rPr>
              <w:t>двигатель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  <w:bCs/>
              </w:rPr>
            </w:pPr>
            <w:r w:rsidRPr="00B26119">
              <w:rPr>
                <w:rFonts w:ascii="PT Astra Serif" w:hAnsi="PT Astra Serif" w:cs="Times New Roman"/>
                <w:bCs/>
              </w:rPr>
              <w:t xml:space="preserve">Марченко А.А. 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  <w:iCs/>
              </w:rPr>
            </w:pPr>
            <w:r w:rsidRPr="00B26119">
              <w:rPr>
                <w:rFonts w:ascii="PT Astra Serif" w:hAnsi="PT Astra Serif" w:cs="Times New Roman"/>
                <w:iCs/>
              </w:rPr>
              <w:t>В данной статье рассмотрено создание компьютерной модели одноконтурной гребной электрич</w:t>
            </w:r>
            <w:r w:rsidRPr="00B26119">
              <w:rPr>
                <w:rFonts w:ascii="PT Astra Serif" w:hAnsi="PT Astra Serif" w:cs="Times New Roman"/>
                <w:iCs/>
              </w:rPr>
              <w:t>е</w:t>
            </w:r>
            <w:r w:rsidRPr="00B26119">
              <w:rPr>
                <w:rFonts w:ascii="PT Astra Serif" w:hAnsi="PT Astra Serif" w:cs="Times New Roman"/>
                <w:iCs/>
              </w:rPr>
              <w:t xml:space="preserve">ской установки. </w:t>
            </w:r>
            <w:proofErr w:type="gramStart"/>
            <w:r w:rsidRPr="00B26119">
              <w:rPr>
                <w:rFonts w:ascii="PT Astra Serif" w:hAnsi="PT Astra Serif" w:cs="Times New Roman"/>
                <w:iCs/>
              </w:rPr>
              <w:t>На</w:t>
            </w:r>
            <w:proofErr w:type="gramEnd"/>
            <w:r w:rsidRPr="00B26119">
              <w:rPr>
                <w:rFonts w:ascii="PT Astra Serif" w:hAnsi="PT Astra Serif" w:cs="Times New Roman"/>
                <w:iCs/>
              </w:rPr>
              <w:t xml:space="preserve"> </w:t>
            </w:r>
            <w:proofErr w:type="gramStart"/>
            <w:r w:rsidRPr="00B26119">
              <w:rPr>
                <w:rFonts w:ascii="PT Astra Serif" w:hAnsi="PT Astra Serif" w:cs="Times New Roman"/>
                <w:iCs/>
              </w:rPr>
              <w:t>первым</w:t>
            </w:r>
            <w:proofErr w:type="gramEnd"/>
            <w:r w:rsidRPr="00B26119">
              <w:rPr>
                <w:rFonts w:ascii="PT Astra Serif" w:hAnsi="PT Astra Serif" w:cs="Times New Roman"/>
                <w:iCs/>
              </w:rPr>
              <w:t xml:space="preserve"> этапе построена математическая модель данной системы. На основе математической модели создана компьютерная модель в </w:t>
            </w:r>
            <w:r w:rsidRPr="00B26119">
              <w:rPr>
                <w:rFonts w:ascii="PT Astra Serif" w:hAnsi="PT Astra Serif" w:cs="Times New Roman"/>
                <w:i/>
                <w:iCs/>
                <w:lang w:val="en-US"/>
              </w:rPr>
              <w:t>Matlab</w:t>
            </w:r>
            <w:r w:rsidRPr="00B26119">
              <w:rPr>
                <w:rFonts w:ascii="PT Astra Serif" w:hAnsi="PT Astra Serif" w:cs="Times New Roman"/>
                <w:i/>
                <w:iCs/>
              </w:rPr>
              <w:t xml:space="preserve"> </w:t>
            </w:r>
            <w:r w:rsidRPr="00B26119">
              <w:rPr>
                <w:rFonts w:ascii="PT Astra Serif" w:hAnsi="PT Astra Serif" w:cs="Times New Roman"/>
                <w:iCs/>
              </w:rPr>
              <w:t>и проведена проверка в ном</w:t>
            </w:r>
            <w:r w:rsidRPr="00B26119">
              <w:rPr>
                <w:rFonts w:ascii="PT Astra Serif" w:hAnsi="PT Astra Serif" w:cs="Times New Roman"/>
                <w:iCs/>
              </w:rPr>
              <w:t>и</w:t>
            </w:r>
            <w:r w:rsidRPr="00B26119">
              <w:rPr>
                <w:rFonts w:ascii="PT Astra Serif" w:hAnsi="PT Astra Serif" w:cs="Times New Roman"/>
                <w:iCs/>
              </w:rPr>
              <w:t>нальном режиме. После верификации модели был проведен эксперимент по регулированию част</w:t>
            </w:r>
            <w:r w:rsidRPr="00B26119">
              <w:rPr>
                <w:rFonts w:ascii="PT Astra Serif" w:hAnsi="PT Astra Serif" w:cs="Times New Roman"/>
                <w:iCs/>
              </w:rPr>
              <w:t>о</w:t>
            </w:r>
            <w:r w:rsidRPr="00B26119">
              <w:rPr>
                <w:rFonts w:ascii="PT Astra Serif" w:hAnsi="PT Astra Serif" w:cs="Times New Roman"/>
                <w:iCs/>
              </w:rPr>
              <w:t>ты гребного электродвигателя. Полученные результаты свидетельствуют о правильности постр</w:t>
            </w:r>
            <w:r w:rsidRPr="00B26119">
              <w:rPr>
                <w:rFonts w:ascii="PT Astra Serif" w:hAnsi="PT Astra Serif" w:cs="Times New Roman"/>
                <w:iCs/>
              </w:rPr>
              <w:t>о</w:t>
            </w:r>
            <w:r w:rsidRPr="00B26119">
              <w:rPr>
                <w:rFonts w:ascii="PT Astra Serif" w:hAnsi="PT Astra Serif" w:cs="Times New Roman"/>
                <w:iCs/>
              </w:rPr>
              <w:t>енной математической и компьютерной моделей и об эффективности данной системы.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  <w:bCs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 xml:space="preserve"> асинхронный двигатель, гребной двигатель, коммутация, механическая мо</w:t>
            </w:r>
            <w:r w:rsidRPr="00B26119">
              <w:rPr>
                <w:rFonts w:ascii="PT Astra Serif" w:hAnsi="PT Astra Serif" w:cs="Times New Roman"/>
              </w:rPr>
              <w:t>щ</w:t>
            </w:r>
            <w:r w:rsidRPr="00B26119">
              <w:rPr>
                <w:rFonts w:ascii="PT Astra Serif" w:hAnsi="PT Astra Serif" w:cs="Times New Roman"/>
              </w:rPr>
              <w:t>ность, частота сети, электрический ток.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УДК </w:t>
            </w:r>
            <w:bookmarkStart w:id="0" w:name="_GoBack"/>
            <w:bookmarkEnd w:id="0"/>
            <w:r w:rsidRPr="00B26119">
              <w:rPr>
                <w:rFonts w:ascii="PT Astra Serif" w:hAnsi="PT Astra Serif" w:cs="Times New Roman"/>
              </w:rPr>
              <w:t xml:space="preserve">004.94                       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10.17217/2079-0333-2020-53-16-24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26119">
              <w:rPr>
                <w:rFonts w:ascii="PT Astra Serif" w:hAnsi="PT Astra Serif" w:cs="Times New Roman"/>
                <w:b/>
              </w:rPr>
              <w:t xml:space="preserve">МЕТОД РАСЧЕТА ПРОЧНОСТНЫХ ХАРАКТЕРИСТИК </w:t>
            </w:r>
            <w:r w:rsidRPr="00B26119">
              <w:rPr>
                <w:rFonts w:ascii="PT Astra Serif" w:hAnsi="PT Astra Serif" w:cs="Times New Roman"/>
                <w:b/>
              </w:rPr>
              <w:br/>
              <w:t>ПОЛИЭТИЛЕНОВЫХ ШНУРОВ</w:t>
            </w:r>
          </w:p>
          <w:p w:rsidR="003D3E73" w:rsidRPr="00B26119" w:rsidRDefault="003D3E73" w:rsidP="003D3E73">
            <w:pPr>
              <w:ind w:firstLine="56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Осипов Е.В., </w:t>
            </w:r>
            <w:proofErr w:type="spellStart"/>
            <w:r w:rsidRPr="00B26119">
              <w:rPr>
                <w:rFonts w:ascii="PT Astra Serif" w:hAnsi="PT Astra Serif" w:cs="Times New Roman"/>
              </w:rPr>
              <w:t>Сюмаков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Г.В.</w:t>
            </w:r>
          </w:p>
          <w:p w:rsidR="003D3E73" w:rsidRPr="00B26119" w:rsidRDefault="003D3E73" w:rsidP="003D3E73">
            <w:pPr>
              <w:ind w:firstLine="56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>В работе описан метод расчета прочностных характеристик полиэтиленовых шнуров с учетом конструкции и на основе исследования процессов его разрушения. Метод расчета включает опр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>деление фактического внутреннего диаметра оплетки, который позволяет выявить эффективную компоновку о</w:t>
            </w:r>
            <w:r w:rsidRPr="00B26119">
              <w:rPr>
                <w:rFonts w:ascii="PT Astra Serif" w:hAnsi="PT Astra Serif" w:cs="Times New Roman"/>
              </w:rPr>
              <w:t>п</w:t>
            </w:r>
            <w:r w:rsidRPr="00B26119">
              <w:rPr>
                <w:rFonts w:ascii="PT Astra Serif" w:hAnsi="PT Astra Serif" w:cs="Times New Roman"/>
              </w:rPr>
              <w:t>летки (рубашки) шнура и определить возможность совместной работы сердечника и шнура, что и обеспечивает максимальную разрывную нагрузку полиэтиленовых шнуров. Для определения диаметра, образующегося нитями сердечника, использованы оптимальные соотн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шения. Получены формулы соотношения длины нитей оплетки и нитей сердечника, которые п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зволяют о</w:t>
            </w:r>
            <w:r w:rsidRPr="00B26119">
              <w:rPr>
                <w:rFonts w:ascii="PT Astra Serif" w:hAnsi="PT Astra Serif" w:cs="Times New Roman"/>
              </w:rPr>
              <w:t>п</w:t>
            </w:r>
            <w:r w:rsidRPr="00B26119">
              <w:rPr>
                <w:rFonts w:ascii="PT Astra Serif" w:hAnsi="PT Astra Serif" w:cs="Times New Roman"/>
              </w:rPr>
              <w:t>ределить коэффициент использования нитей оплетки, включенных в процесс разрыва. Отклонение результатов расчетных значений по предложенному методу и экспериментальных данных не превышает 3–5%. Предложенный метод может быть применен для расчета прочнос</w:t>
            </w:r>
            <w:r w:rsidRPr="00B26119">
              <w:rPr>
                <w:rFonts w:ascii="PT Astra Serif" w:hAnsi="PT Astra Serif" w:cs="Times New Roman"/>
              </w:rPr>
              <w:t>т</w:t>
            </w:r>
            <w:r w:rsidRPr="00B26119">
              <w:rPr>
                <w:rFonts w:ascii="PT Astra Serif" w:hAnsi="PT Astra Serif" w:cs="Times New Roman"/>
              </w:rPr>
              <w:t>ных характеристик полиэтиленовых шнуров, у которых при разрыве конструктивно возможна с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вместная работа нитей серде</w:t>
            </w:r>
            <w:r w:rsidRPr="00B26119">
              <w:rPr>
                <w:rFonts w:ascii="PT Astra Serif" w:hAnsi="PT Astra Serif" w:cs="Times New Roman"/>
              </w:rPr>
              <w:t>ч</w:t>
            </w:r>
            <w:r w:rsidRPr="00B26119">
              <w:rPr>
                <w:rFonts w:ascii="PT Astra Serif" w:hAnsi="PT Astra Serif" w:cs="Times New Roman"/>
              </w:rPr>
              <w:t>ника и оплетки.</w:t>
            </w:r>
          </w:p>
          <w:p w:rsidR="003D3E73" w:rsidRPr="00B26119" w:rsidRDefault="003D3E73" w:rsidP="003D3E73">
            <w:pPr>
              <w:ind w:firstLine="56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 xml:space="preserve"> метод расчета, полиэтиленовые шнуры, прочностные характеристики.</w:t>
            </w:r>
          </w:p>
          <w:p w:rsidR="003D3E73" w:rsidRPr="00B26119" w:rsidRDefault="003D3E73" w:rsidP="003D3E73">
            <w:pPr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УДК 663.5:634                  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10.17217/2079-0333-2020-53-25-36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26119">
              <w:rPr>
                <w:rFonts w:ascii="PT Astra Serif" w:hAnsi="PT Astra Serif" w:cs="Times New Roman"/>
                <w:b/>
              </w:rPr>
              <w:t xml:space="preserve">РАЗРАБОТКА ТЕХНОЛОГИИ БАЛЬЗАМА НА ОСНОВЕ </w:t>
            </w:r>
            <w:r w:rsidRPr="00B26119">
              <w:rPr>
                <w:rFonts w:ascii="PT Astra Serif" w:hAnsi="PT Astra Serif" w:cs="Times New Roman"/>
                <w:b/>
              </w:rPr>
              <w:br/>
              <w:t>СПИРТОВАННЫХ НАСТОЕВ ИЗ ДИКОРОСОВ КАМЧАТСКОГО КРАЯ</w:t>
            </w:r>
          </w:p>
          <w:p w:rsidR="003D3E73" w:rsidRPr="00B26119" w:rsidRDefault="003D3E73" w:rsidP="003D3E73">
            <w:pPr>
              <w:pStyle w:val="1"/>
              <w:spacing w:before="0" w:after="0"/>
              <w:outlineLvl w:val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D3E73" w:rsidRPr="00B26119" w:rsidRDefault="003D3E73" w:rsidP="003D3E73">
            <w:pPr>
              <w:pStyle w:val="1"/>
              <w:spacing w:before="0" w:after="0"/>
              <w:outlineLvl w:val="0"/>
              <w:rPr>
                <w:rFonts w:ascii="PT Astra Serif" w:hAnsi="PT Astra Serif" w:cs="Times New Roman"/>
                <w:b w:val="0"/>
                <w:sz w:val="22"/>
                <w:szCs w:val="22"/>
                <w:vertAlign w:val="superscript"/>
              </w:rPr>
            </w:pPr>
            <w:r w:rsidRPr="00B26119">
              <w:rPr>
                <w:rFonts w:ascii="PT Astra Serif" w:hAnsi="PT Astra Serif" w:cs="Times New Roman"/>
                <w:b w:val="0"/>
                <w:sz w:val="22"/>
                <w:szCs w:val="22"/>
              </w:rPr>
              <w:t>Благонравова М.В.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>В статье приведены результаты разработки рецептуры и технологии производства бальзамов из дикоросов Камчатки. Разработана панель дескрипторов, а также вкусовой и ароматический пор</w:t>
            </w:r>
            <w:r w:rsidRPr="00B26119">
              <w:rPr>
                <w:rFonts w:ascii="PT Astra Serif" w:hAnsi="PT Astra Serif" w:cs="Times New Roman"/>
              </w:rPr>
              <w:t>т</w:t>
            </w:r>
            <w:r w:rsidRPr="00B26119">
              <w:rPr>
                <w:rFonts w:ascii="PT Astra Serif" w:hAnsi="PT Astra Serif" w:cs="Times New Roman"/>
              </w:rPr>
              <w:t>реты «ид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>ального» бальзама, при этом выявлен образец, максимально совпадающий с профилем «идеального» напитка. Показано, что разработанный бальзам полностью соответствует требован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>ям стандарта. Пр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 xml:space="preserve">ведены результаты исследования биологической ценности напитка – в изделии содержится 0,27 г/100 </w:t>
            </w:r>
            <w:proofErr w:type="spellStart"/>
            <w:r w:rsidRPr="00B26119">
              <w:rPr>
                <w:rFonts w:ascii="PT Astra Serif" w:hAnsi="PT Astra Serif" w:cs="Times New Roman"/>
              </w:rPr>
              <w:t>см</w:t>
            </w:r>
            <w:r w:rsidRPr="00B26119">
              <w:rPr>
                <w:rFonts w:ascii="PT Astra Serif" w:hAnsi="PT Astra Serif" w:cs="Times New Roman"/>
                <w:vertAlign w:val="superscript"/>
              </w:rPr>
              <w:t>3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кислот, йод в количестве 1,52 мкг/100 </w:t>
            </w:r>
            <w:proofErr w:type="spellStart"/>
            <w:r w:rsidRPr="00B26119">
              <w:rPr>
                <w:rFonts w:ascii="PT Astra Serif" w:hAnsi="PT Astra Serif" w:cs="Times New Roman"/>
              </w:rPr>
              <w:t>см</w:t>
            </w:r>
            <w:r w:rsidRPr="00B26119">
              <w:rPr>
                <w:rFonts w:ascii="PT Astra Serif" w:hAnsi="PT Astra Serif" w:cs="Times New Roman"/>
                <w:vertAlign w:val="superscript"/>
              </w:rPr>
              <w:t>3</w:t>
            </w:r>
            <w:proofErr w:type="spellEnd"/>
            <w:r w:rsidRPr="00B26119">
              <w:rPr>
                <w:rFonts w:ascii="PT Astra Serif" w:hAnsi="PT Astra Serif" w:cs="Times New Roman"/>
                <w:vertAlign w:val="superscript"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и 0,1688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мг%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витамина С. 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ab/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</w:rPr>
              <w:t xml:space="preserve">Ключевые слова: </w:t>
            </w:r>
            <w:r w:rsidRPr="00B26119">
              <w:rPr>
                <w:rFonts w:ascii="PT Astra Serif" w:hAnsi="PT Astra Serif" w:cs="Times New Roman"/>
              </w:rPr>
              <w:t>витамин</w:t>
            </w:r>
            <w:proofErr w:type="gramStart"/>
            <w:r w:rsidRPr="00B26119">
              <w:rPr>
                <w:rFonts w:ascii="PT Astra Serif" w:hAnsi="PT Astra Serif" w:cs="Times New Roman"/>
              </w:rPr>
              <w:t xml:space="preserve"> С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</w:rPr>
              <w:t>дескрипторно-профильный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метод, йод, Камчатка, массовая конце</w:t>
            </w:r>
            <w:r w:rsidRPr="00B26119">
              <w:rPr>
                <w:rFonts w:ascii="PT Astra Serif" w:hAnsi="PT Astra Serif" w:cs="Times New Roman"/>
              </w:rPr>
              <w:t>н</w:t>
            </w:r>
            <w:r w:rsidRPr="00B26119">
              <w:rPr>
                <w:rFonts w:ascii="PT Astra Serif" w:hAnsi="PT Astra Serif" w:cs="Times New Roman"/>
              </w:rPr>
              <w:t>тр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 xml:space="preserve">ция титруемых кислот, настой ламинарии, настои ягод, спиртованные настои. </w:t>
            </w:r>
          </w:p>
          <w:p w:rsidR="003D3E73" w:rsidRPr="00B26119" w:rsidRDefault="003D3E73" w:rsidP="003D3E73">
            <w:pPr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lastRenderedPageBreak/>
              <w:t xml:space="preserve">УДК 582.272.462(571.66)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10.17217/2079-0333-2020-53-37-53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26119">
              <w:rPr>
                <w:rFonts w:ascii="PT Astra Serif" w:hAnsi="PT Astra Serif" w:cs="Times New Roman"/>
                <w:b/>
              </w:rPr>
              <w:t>ЛАМИНАРИЕВЫЕ ВОДОРОСЛИ ЗАПАДНОЙ КАМЧАТКИ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proofErr w:type="spellStart"/>
            <w:r w:rsidRPr="00B26119">
              <w:rPr>
                <w:rFonts w:ascii="PT Astra Serif" w:hAnsi="PT Astra Serif" w:cs="Times New Roman"/>
              </w:rPr>
              <w:t>Клочкова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Н.Г., Климова А.В., </w:t>
            </w:r>
            <w:proofErr w:type="spellStart"/>
            <w:r w:rsidRPr="00B26119">
              <w:rPr>
                <w:rFonts w:ascii="PT Astra Serif" w:hAnsi="PT Astra Serif" w:cs="Times New Roman"/>
              </w:rPr>
              <w:t>Клочкова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Т.А.</w:t>
            </w:r>
          </w:p>
          <w:p w:rsidR="003D3E73" w:rsidRPr="00B26119" w:rsidRDefault="003D3E73" w:rsidP="003D3E73">
            <w:pPr>
              <w:ind w:firstLine="397"/>
              <w:jc w:val="center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Западная Камчатка до сих пор слабо изучена в </w:t>
            </w:r>
            <w:proofErr w:type="spellStart"/>
            <w:r w:rsidRPr="00B26119">
              <w:rPr>
                <w:rFonts w:ascii="PT Astra Serif" w:hAnsi="PT Astra Serif" w:cs="Times New Roman"/>
              </w:rPr>
              <w:t>альгофлористическом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B26119">
              <w:rPr>
                <w:rFonts w:ascii="PT Astra Serif" w:hAnsi="PT Astra Serif" w:cs="Times New Roman"/>
              </w:rPr>
              <w:t>альгопромысловом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отн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шениях, и точных представлений о границах распространения здесь разных видов ламинариевых не с</w:t>
            </w:r>
            <w:r w:rsidRPr="00B26119">
              <w:rPr>
                <w:rFonts w:ascii="PT Astra Serif" w:hAnsi="PT Astra Serif" w:cs="Times New Roman"/>
              </w:rPr>
              <w:t>у</w:t>
            </w:r>
            <w:r w:rsidRPr="00B26119">
              <w:rPr>
                <w:rFonts w:ascii="PT Astra Serif" w:hAnsi="PT Astra Serif" w:cs="Times New Roman"/>
              </w:rPr>
              <w:t xml:space="preserve">ществует. Авторы в ходе их изучения в районе побережья, расположенном от мыса </w:t>
            </w:r>
            <w:proofErr w:type="spellStart"/>
            <w:r w:rsidRPr="00B26119">
              <w:rPr>
                <w:rFonts w:ascii="PT Astra Serif" w:hAnsi="PT Astra Serif" w:cs="Times New Roman"/>
              </w:rPr>
              <w:t>Амбон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до устья реки </w:t>
            </w:r>
            <w:proofErr w:type="spellStart"/>
            <w:r w:rsidRPr="00B26119">
              <w:rPr>
                <w:rFonts w:ascii="PT Astra Serif" w:hAnsi="PT Astra Serif" w:cs="Times New Roman"/>
              </w:rPr>
              <w:t>Утхолок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в том числе </w:t>
            </w:r>
            <w:proofErr w:type="gramStart"/>
            <w:r w:rsidRPr="00B26119">
              <w:rPr>
                <w:rFonts w:ascii="PT Astra Serif" w:hAnsi="PT Astra Serif" w:cs="Times New Roman"/>
              </w:rPr>
              <w:t>у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B26119">
              <w:rPr>
                <w:rFonts w:ascii="PT Astra Serif" w:hAnsi="PT Astra Serif" w:cs="Times New Roman"/>
              </w:rPr>
              <w:t>о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. Птичий, в 2020 г. обнаружили пять видов ламинариевых: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Phyllariella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ochotensis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Pseudolessonia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laminarioides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inclinatorhiza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Saccharina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latissima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и </w:t>
            </w:r>
            <w:r w:rsidRPr="00B26119">
              <w:rPr>
                <w:rFonts w:ascii="PT Astra Serif" w:hAnsi="PT Astra Serif" w:cs="Times New Roman"/>
                <w:i/>
              </w:rPr>
              <w:t>А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laria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esculenta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lang w:val="en-US"/>
              </w:rPr>
              <w:t>sensu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lang w:val="en-US"/>
              </w:rPr>
              <w:t>lato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. Три первых вида являются </w:t>
            </w:r>
            <w:proofErr w:type="spellStart"/>
            <w:r w:rsidRPr="00B26119">
              <w:rPr>
                <w:rFonts w:ascii="PT Astra Serif" w:hAnsi="PT Astra Serif" w:cs="Times New Roman"/>
              </w:rPr>
              <w:t>эндемами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материкового побережья Охотск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 xml:space="preserve">го моря. Специальный поиск у побережья юго-западной Камчатки еще одного </w:t>
            </w:r>
            <w:proofErr w:type="spellStart"/>
            <w:r w:rsidRPr="00B26119">
              <w:rPr>
                <w:rFonts w:ascii="PT Astra Serif" w:hAnsi="PT Astra Serif" w:cs="Times New Roman"/>
              </w:rPr>
              <w:t>охотоморского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</w:rPr>
              <w:t>э</w:t>
            </w:r>
            <w:r w:rsidRPr="00B26119">
              <w:rPr>
                <w:rFonts w:ascii="PT Astra Serif" w:hAnsi="PT Astra Serif" w:cs="Times New Roman"/>
              </w:rPr>
              <w:t>н</w:t>
            </w:r>
            <w:r w:rsidRPr="00B26119">
              <w:rPr>
                <w:rFonts w:ascii="PT Astra Serif" w:hAnsi="PT Astra Serif" w:cs="Times New Roman"/>
              </w:rPr>
              <w:t>дема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appressirhiza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показал, что он здесь отсутствует. Представитель беринговоморской ламинариевой флоры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Hedophyllum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bongardianum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севернее </w:t>
            </w:r>
            <w:proofErr w:type="spellStart"/>
            <w:r w:rsidRPr="00B26119">
              <w:rPr>
                <w:rFonts w:ascii="PT Astra Serif" w:hAnsi="PT Astra Serif" w:cs="Times New Roman"/>
              </w:rPr>
              <w:t>51</w:t>
            </w:r>
            <w:r w:rsidRPr="00B26119">
              <w:rPr>
                <w:rFonts w:ascii="PT Astra Serif" w:hAnsi="PT Astra Serif" w:cs="Times New Roman"/>
                <w:vertAlign w:val="superscript"/>
              </w:rPr>
              <w:t>о</w:t>
            </w:r>
            <w:proofErr w:type="spellEnd"/>
            <w:r w:rsidRPr="00B26119">
              <w:rPr>
                <w:rFonts w:ascii="PT Astra Serif" w:hAnsi="PT Astra Serif" w:cs="Times New Roman"/>
                <w:vertAlign w:val="superscript"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B26119">
              <w:rPr>
                <w:rFonts w:ascii="PT Astra Serif" w:hAnsi="PT Astra Serif" w:cs="Times New Roman"/>
              </w:rPr>
              <w:t>ш</w:t>
            </w:r>
            <w:proofErr w:type="spellEnd"/>
            <w:r w:rsidRPr="00B26119">
              <w:rPr>
                <w:rFonts w:ascii="PT Astra Serif" w:hAnsi="PT Astra Serif" w:cs="Times New Roman"/>
              </w:rPr>
              <w:t>. у западной Камчатки не встр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>чается. В статье приводятся морфометр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 xml:space="preserve">ческие характеристики разновозрастных представителей пяти указанных выше видов, описаны присущие </w:t>
            </w:r>
            <w:proofErr w:type="spellStart"/>
            <w:r w:rsidRPr="00B26119">
              <w:rPr>
                <w:rFonts w:ascii="PT Astra Serif" w:hAnsi="PT Astra Serif" w:cs="Times New Roman"/>
              </w:rPr>
              <w:t>западнокамчатским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популяциям этих видов мо</w:t>
            </w:r>
            <w:r w:rsidRPr="00B26119">
              <w:rPr>
                <w:rFonts w:ascii="PT Astra Serif" w:hAnsi="PT Astra Serif" w:cs="Times New Roman"/>
              </w:rPr>
              <w:t>р</w:t>
            </w:r>
            <w:r w:rsidRPr="00B26119">
              <w:rPr>
                <w:rFonts w:ascii="PT Astra Serif" w:hAnsi="PT Astra Serif" w:cs="Times New Roman"/>
              </w:rPr>
              <w:t xml:space="preserve">фологические признаки. Дополнительно приведены данные по молекулярной филогении </w:t>
            </w:r>
            <w:proofErr w:type="gramStart"/>
            <w:r w:rsidRPr="00B26119">
              <w:rPr>
                <w:rFonts w:ascii="PT Astra Serif" w:hAnsi="PT Astra Serif" w:cs="Times New Roman"/>
              </w:rPr>
              <w:t>собра</w:t>
            </w:r>
            <w:r w:rsidRPr="00B26119">
              <w:rPr>
                <w:rFonts w:ascii="PT Astra Serif" w:hAnsi="PT Astra Serif" w:cs="Times New Roman"/>
              </w:rPr>
              <w:t>н</w:t>
            </w:r>
            <w:r w:rsidRPr="00B26119">
              <w:rPr>
                <w:rFonts w:ascii="PT Astra Serif" w:hAnsi="PT Astra Serif" w:cs="Times New Roman"/>
              </w:rPr>
              <w:t>ных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 в Охотском море </w:t>
            </w:r>
            <w:r w:rsidRPr="00B26119">
              <w:rPr>
                <w:rFonts w:ascii="PT Astra Serif" w:hAnsi="PT Astra Serif" w:cs="Times New Roman"/>
                <w:i/>
                <w:lang w:val="en-US"/>
              </w:rPr>
              <w:t>L</w:t>
            </w:r>
            <w:r w:rsidRPr="00B26119">
              <w:rPr>
                <w:rFonts w:ascii="PT Astra Serif" w:hAnsi="PT Astra Serif" w:cs="Times New Roman"/>
                <w:i/>
              </w:rPr>
              <w:t>.</w:t>
            </w:r>
            <w:r w:rsidRPr="00B26119">
              <w:rPr>
                <w:rFonts w:ascii="PT Astra Serif" w:hAnsi="PT Astra Serif" w:cs="Times New Roman"/>
              </w:rPr>
              <w:t> 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appressirhiza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и </w:t>
            </w:r>
            <w:r w:rsidRPr="00B26119">
              <w:rPr>
                <w:rFonts w:ascii="PT Astra Serif" w:hAnsi="PT Astra Serif" w:cs="Times New Roman"/>
                <w:i/>
                <w:lang w:val="en-US"/>
              </w:rPr>
              <w:t>H</w:t>
            </w:r>
            <w:r w:rsidRPr="00B26119">
              <w:rPr>
                <w:rFonts w:ascii="PT Astra Serif" w:hAnsi="PT Astra Serif" w:cs="Times New Roman"/>
                <w:i/>
              </w:rPr>
              <w:t>. 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bongardianum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t xml:space="preserve">и показано, что первый принадлежит к роду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Laminaria</w:t>
            </w:r>
            <w:proofErr w:type="spellEnd"/>
            <w:r w:rsidRPr="00B26119">
              <w:rPr>
                <w:rFonts w:ascii="PT Astra Serif" w:hAnsi="PT Astra Serif" w:cs="Times New Roman"/>
              </w:rPr>
              <w:t>. В промысловом отношении данный район оценен как неперспективный для орг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 xml:space="preserve">низации добычи </w:t>
            </w:r>
            <w:proofErr w:type="gramStart"/>
            <w:r w:rsidRPr="00B26119">
              <w:rPr>
                <w:rFonts w:ascii="PT Astra Serif" w:hAnsi="PT Astra Serif" w:cs="Times New Roman"/>
              </w:rPr>
              <w:t>ламинари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>вых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 традиционным ручным способом</w:t>
            </w:r>
            <w:r w:rsidRPr="00B26119">
              <w:rPr>
                <w:rStyle w:val="a6"/>
                <w:rFonts w:ascii="PT Astra Serif" w:hAnsi="PT Astra Serif" w:cs="Times New Roman"/>
              </w:rPr>
              <w:footnoteReference w:customMarkFollows="1" w:id="1"/>
              <w:sym w:font="Symbol" w:char="F02A"/>
            </w:r>
            <w:r w:rsidRPr="00B26119">
              <w:rPr>
                <w:rFonts w:ascii="PT Astra Serif" w:hAnsi="PT Astra Serif" w:cs="Times New Roman"/>
              </w:rPr>
              <w:t>.</w:t>
            </w:r>
          </w:p>
          <w:p w:rsidR="003D3E73" w:rsidRPr="00B26119" w:rsidRDefault="003D3E73" w:rsidP="003D3E73">
            <w:pPr>
              <w:ind w:firstLine="39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 xml:space="preserve"> западная Камчатка, ламинариевые водоросли, молекулярная филогения, </w:t>
            </w:r>
            <w:proofErr w:type="spellStart"/>
            <w:r w:rsidRPr="00B26119">
              <w:rPr>
                <w:rFonts w:ascii="PT Astra Serif" w:hAnsi="PT Astra Serif" w:cs="Times New Roman"/>
                <w:lang w:val="en-US"/>
              </w:rPr>
              <w:t>COI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Hedophyllum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bongardianum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appressirhiza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Laminaria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inclinatorhiza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>,</w:t>
            </w:r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Phyllariella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  <w:lang w:val="en-US"/>
              </w:rPr>
              <w:t>Pseudolessonia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>.</w:t>
            </w:r>
          </w:p>
          <w:p w:rsidR="003D3E73" w:rsidRPr="00B26119" w:rsidRDefault="003D3E73" w:rsidP="003D3E73">
            <w:pPr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УДК 582.232:519.876.5    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10.17217/2079-0333-2020-53-54-65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r w:rsidRPr="00B26119">
              <w:rPr>
                <w:rFonts w:ascii="PT Astra Serif" w:hAnsi="PT Astra Serif" w:cs="Times New Roman"/>
                <w:b/>
              </w:rPr>
              <w:t>КУЛЬТУРАЛЬНЫЕ</w:t>
            </w:r>
            <w:proofErr w:type="spellEnd"/>
            <w:r w:rsidRPr="00B26119">
              <w:rPr>
                <w:rFonts w:ascii="PT Astra Serif" w:hAnsi="PT Astra Serif" w:cs="Times New Roman"/>
                <w:b/>
              </w:rPr>
              <w:t xml:space="preserve"> И БИОХИМИЧЕСКИЕ ПОКАЗАТЕЛИ </w:t>
            </w:r>
            <w:proofErr w:type="spellStart"/>
            <w:r w:rsidRPr="00B26119">
              <w:rPr>
                <w:rFonts w:ascii="PT Astra Serif" w:hAnsi="PT Astra Serif" w:cs="Times New Roman"/>
                <w:b/>
              </w:rPr>
              <w:t>МИКРОВОДОРОСЛЕЙ</w:t>
            </w:r>
            <w:proofErr w:type="spellEnd"/>
            <w:r w:rsidRPr="00B26119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</w:rPr>
              <w:t>PHAEODACTYLUM</w:t>
            </w:r>
            <w:proofErr w:type="spellEnd"/>
            <w:r w:rsidRPr="00B26119">
              <w:rPr>
                <w:rFonts w:ascii="PT Astra Serif" w:hAnsi="PT Astra Serif" w:cs="Times New Roman"/>
                <w:b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</w:rPr>
              <w:t>TRICORNUTUM</w:t>
            </w:r>
            <w:proofErr w:type="spellEnd"/>
            <w:proofErr w:type="gramStart"/>
            <w:r w:rsidRPr="00B26119">
              <w:rPr>
                <w:rFonts w:ascii="PT Astra Serif" w:hAnsi="PT Astra Serif" w:cs="Times New Roman"/>
              </w:rPr>
              <w:t xml:space="preserve"> </w:t>
            </w:r>
            <w:r w:rsidRPr="00B26119">
              <w:rPr>
                <w:rFonts w:ascii="PT Astra Serif" w:hAnsi="PT Astra Serif" w:cs="Times New Roman"/>
                <w:b/>
              </w:rPr>
              <w:t>И</w:t>
            </w:r>
            <w:proofErr w:type="gramEnd"/>
            <w:r w:rsidRPr="00B26119">
              <w:rPr>
                <w:rFonts w:ascii="PT Astra Serif" w:hAnsi="PT Astra Serif" w:cs="Times New Roman"/>
                <w:b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</w:rPr>
              <w:t>TETRASELMIS</w:t>
            </w:r>
            <w:proofErr w:type="spellEnd"/>
            <w:r w:rsidRPr="00B26119">
              <w:rPr>
                <w:rFonts w:ascii="PT Astra Serif" w:hAnsi="PT Astra Serif" w:cs="Times New Roman"/>
                <w:b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</w:rPr>
              <w:t>SUECIACA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</w:t>
            </w:r>
            <w:r w:rsidRPr="00B26119">
              <w:rPr>
                <w:rFonts w:ascii="PT Astra Serif" w:hAnsi="PT Astra Serif" w:cs="Times New Roman"/>
              </w:rPr>
              <w:br/>
            </w:r>
            <w:r w:rsidRPr="00B26119">
              <w:rPr>
                <w:rFonts w:ascii="PT Astra Serif" w:hAnsi="PT Astra Serif" w:cs="Times New Roman"/>
                <w:b/>
              </w:rPr>
              <w:t>В НАКОПИТЕЛЬНЫХ КУЛЬТУРАХ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Ковалев Н.Н., Лескова С.Е., Михеев Е.В., Позднякова Ю.М., </w:t>
            </w:r>
            <w:proofErr w:type="spellStart"/>
            <w:r w:rsidRPr="00B26119">
              <w:rPr>
                <w:rFonts w:ascii="PT Astra Serif" w:hAnsi="PT Astra Serif" w:cs="Times New Roman"/>
              </w:rPr>
              <w:t>Есипенко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Р.В.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 xml:space="preserve">Проведено сравнительное исследование </w:t>
            </w:r>
            <w:proofErr w:type="spellStart"/>
            <w:r w:rsidRPr="00B26119">
              <w:rPr>
                <w:rFonts w:ascii="PT Astra Serif" w:hAnsi="PT Astra Serif" w:cs="Times New Roman"/>
              </w:rPr>
              <w:t>культуральных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и биохимических показателей двух видов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микроводорослей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Tetraselmis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sueciaca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Phaeodactylum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tricornutum</w:t>
            </w:r>
            <w:proofErr w:type="spellEnd"/>
            <w:r w:rsidRPr="00B26119">
              <w:rPr>
                <w:rFonts w:ascii="PT Astra Serif" w:hAnsi="PT Astra Serif" w:cs="Times New Roman"/>
              </w:rPr>
              <w:t>. Плотность клеток в накоп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 xml:space="preserve">тельной культуре составляла для </w:t>
            </w:r>
            <w:r w:rsidRPr="00B26119">
              <w:rPr>
                <w:rFonts w:ascii="PT Astra Serif" w:hAnsi="PT Astra Serif" w:cs="Times New Roman"/>
                <w:i/>
              </w:rPr>
              <w:t xml:space="preserve">T.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sueciaca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2,88 </w:t>
            </w:r>
            <w:proofErr w:type="spellStart"/>
            <w:proofErr w:type="gramStart"/>
            <w:r w:rsidRPr="00B26119">
              <w:rPr>
                <w:rFonts w:ascii="PT Astra Serif" w:hAnsi="PT Astra Serif" w:cs="Times New Roman"/>
              </w:rPr>
              <w:t>млн</w:t>
            </w:r>
            <w:proofErr w:type="spellEnd"/>
            <w:proofErr w:type="gram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</w:rPr>
              <w:t>кл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/мл, для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Ph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.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tricornutum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– 20,37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млн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</w:rPr>
              <w:t>кл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/мл после 16 дней культивирования. Установлено, что определение оптической плотности </w:t>
            </w:r>
            <w:proofErr w:type="spellStart"/>
            <w:r w:rsidRPr="00B26119">
              <w:rPr>
                <w:rFonts w:ascii="PT Astra Serif" w:hAnsi="PT Astra Serif" w:cs="Times New Roman"/>
              </w:rPr>
              <w:t>культ</w:t>
            </w:r>
            <w:r w:rsidRPr="00B26119">
              <w:rPr>
                <w:rFonts w:ascii="PT Astra Serif" w:hAnsi="PT Astra Serif" w:cs="Times New Roman"/>
              </w:rPr>
              <w:t>у</w:t>
            </w:r>
            <w:r w:rsidRPr="00B26119">
              <w:rPr>
                <w:rFonts w:ascii="PT Astra Serif" w:hAnsi="PT Astra Serif" w:cs="Times New Roman"/>
              </w:rPr>
              <w:t>ральной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среды является более объективной характеристикой роста накопительной культуры. Пр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 xml:space="preserve">рост культуры </w:t>
            </w:r>
            <w:r w:rsidRPr="00B26119">
              <w:rPr>
                <w:rFonts w:ascii="PT Astra Serif" w:hAnsi="PT Astra Serif" w:cs="Times New Roman"/>
                <w:i/>
              </w:rPr>
              <w:t xml:space="preserve">T.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sueciaca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за время эксперимента составил 400%,</w:t>
            </w:r>
            <w:r w:rsidRPr="00B26119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Ph</w:t>
            </w:r>
            <w:proofErr w:type="spellEnd"/>
            <w:r w:rsidRPr="00B26119">
              <w:rPr>
                <w:rFonts w:ascii="PT Astra Serif" w:hAnsi="PT Astra Serif" w:cs="Times New Roman"/>
                <w:i/>
              </w:rPr>
              <w:t xml:space="preserve">. </w:t>
            </w:r>
            <w:proofErr w:type="spellStart"/>
            <w:r w:rsidRPr="00B26119">
              <w:rPr>
                <w:rFonts w:ascii="PT Astra Serif" w:hAnsi="PT Astra Serif" w:cs="Times New Roman"/>
                <w:i/>
              </w:rPr>
              <w:t>tricornutum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– 700%. Выявл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 xml:space="preserve">но различие химического состава биомассы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микроводорослей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. По энергетической ценности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микроводоросли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не различались. Обсуждается перспективность накопительного культивирования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микроводорослей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в хозяйс</w:t>
            </w:r>
            <w:r w:rsidRPr="00B26119">
              <w:rPr>
                <w:rFonts w:ascii="PT Astra Serif" w:hAnsi="PT Astra Serif" w:cs="Times New Roman"/>
              </w:rPr>
              <w:t>т</w:t>
            </w:r>
            <w:r w:rsidRPr="00B26119">
              <w:rPr>
                <w:rFonts w:ascii="PT Astra Serif" w:hAnsi="PT Astra Serif" w:cs="Times New Roman"/>
              </w:rPr>
              <w:t xml:space="preserve">вах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марикультуры</w:t>
            </w:r>
            <w:proofErr w:type="spellEnd"/>
            <w:r w:rsidRPr="00B26119">
              <w:rPr>
                <w:rFonts w:ascii="PT Astra Serif" w:hAnsi="PT Astra Serif" w:cs="Times New Roman"/>
              </w:rPr>
              <w:t>.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 xml:space="preserve"> биомасса водорослей, жирные кислоты, </w:t>
            </w:r>
            <w:proofErr w:type="spellStart"/>
            <w:r w:rsidRPr="00B26119">
              <w:rPr>
                <w:rFonts w:ascii="PT Astra Serif" w:hAnsi="PT Astra Serif" w:cs="Times New Roman"/>
              </w:rPr>
              <w:t>микроводоросли</w:t>
            </w:r>
            <w:proofErr w:type="spellEnd"/>
            <w:r w:rsidRPr="00B26119">
              <w:rPr>
                <w:rFonts w:ascii="PT Astra Serif" w:hAnsi="PT Astra Serif" w:cs="Times New Roman"/>
              </w:rPr>
              <w:t>, накопительное кул</w:t>
            </w:r>
            <w:r w:rsidRPr="00B26119">
              <w:rPr>
                <w:rFonts w:ascii="PT Astra Serif" w:hAnsi="PT Astra Serif" w:cs="Times New Roman"/>
              </w:rPr>
              <w:t>ь</w:t>
            </w:r>
            <w:r w:rsidRPr="00B26119">
              <w:rPr>
                <w:rFonts w:ascii="PT Astra Serif" w:hAnsi="PT Astra Serif" w:cs="Times New Roman"/>
              </w:rPr>
              <w:t>тив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>рование, скорость роста, химический состав, хлорофилл.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>УДК 597.2/5</w:t>
            </w:r>
            <w:r w:rsidRPr="00B26119">
              <w:rPr>
                <w:rFonts w:ascii="PT Astra Serif" w:hAnsi="PT Astra Serif" w:cs="Times New Roman"/>
                <w:iCs/>
              </w:rPr>
              <w:t xml:space="preserve"> (265.5)</w:t>
            </w:r>
            <w:r w:rsidRPr="00B26119">
              <w:rPr>
                <w:rFonts w:ascii="PT Astra Serif" w:hAnsi="PT Astra Serif" w:cs="Times New Roman"/>
              </w:rPr>
              <w:t xml:space="preserve">               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10.17217/2079-0333-2020-53-66-80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26119">
              <w:rPr>
                <w:rFonts w:ascii="PT Astra Serif" w:hAnsi="PT Astra Serif" w:cs="Times New Roman"/>
                <w:b/>
              </w:rPr>
              <w:t xml:space="preserve">ИХТИОФАУНА ЛИТОРАЛИ </w:t>
            </w:r>
            <w:proofErr w:type="spellStart"/>
            <w:r w:rsidRPr="00B26119">
              <w:rPr>
                <w:rFonts w:ascii="PT Astra Serif" w:hAnsi="PT Astra Serif" w:cs="Times New Roman"/>
                <w:b/>
              </w:rPr>
              <w:t>ПРИКАМЧАТСКИХ</w:t>
            </w:r>
            <w:proofErr w:type="spellEnd"/>
            <w:r w:rsidRPr="00B26119">
              <w:rPr>
                <w:rFonts w:ascii="PT Astra Serif" w:hAnsi="PT Astra Serif" w:cs="Times New Roman"/>
                <w:b/>
              </w:rPr>
              <w:t xml:space="preserve"> ВОД </w:t>
            </w:r>
            <w:r w:rsidRPr="00B26119">
              <w:rPr>
                <w:rFonts w:ascii="PT Astra Serif" w:hAnsi="PT Astra Serif" w:cs="Times New Roman"/>
                <w:b/>
              </w:rPr>
              <w:br/>
              <w:t>И СОПРЕДЕЛЬНОЙ СЕВЕРО-ЗАПАДНОЙ ЧАСТИ БЕРИНГОВА МОРЯ</w:t>
            </w: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proofErr w:type="spellStart"/>
            <w:r w:rsidRPr="00B26119">
              <w:rPr>
                <w:rFonts w:ascii="PT Astra Serif" w:hAnsi="PT Astra Serif" w:cs="Times New Roman"/>
              </w:rPr>
              <w:t>Токранов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А.М.</w:t>
            </w:r>
          </w:p>
          <w:p w:rsidR="003D3E73" w:rsidRPr="00B26119" w:rsidRDefault="003D3E73" w:rsidP="003D3E73">
            <w:pPr>
              <w:jc w:val="center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lastRenderedPageBreak/>
              <w:t xml:space="preserve">Дана характеристика состава ихтиофауны литорали </w:t>
            </w:r>
            <w:proofErr w:type="spellStart"/>
            <w:r w:rsidRPr="00B26119">
              <w:rPr>
                <w:rFonts w:ascii="PT Astra Serif" w:hAnsi="PT Astra Serif" w:cs="Times New Roman"/>
              </w:rPr>
              <w:t>прикамчатских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вод. За весь период исследов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>ний с 1930-х гг. в приливно-отливной зоне этого региона зарегистрирован 61 вид рыб из 17 с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 xml:space="preserve">мейств, 82,0% которых составляют представители отрядов </w:t>
            </w:r>
            <w:proofErr w:type="spellStart"/>
            <w:r w:rsidRPr="00B26119">
              <w:rPr>
                <w:rFonts w:ascii="PT Astra Serif" w:hAnsi="PT Astra Serif" w:cs="Times New Roman"/>
                <w:lang w:val="en-US"/>
              </w:rPr>
              <w:t>Scorpaeniformes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B26119">
              <w:rPr>
                <w:rFonts w:ascii="PT Astra Serif" w:hAnsi="PT Astra Serif" w:cs="Times New Roman"/>
                <w:lang w:val="en-US"/>
              </w:rPr>
              <w:t>Perciformes</w:t>
            </w:r>
            <w:proofErr w:type="spellEnd"/>
            <w:r w:rsidRPr="00B26119">
              <w:rPr>
                <w:rFonts w:ascii="PT Astra Serif" w:hAnsi="PT Astra Serif" w:cs="Times New Roman"/>
              </w:rPr>
              <w:t>. Отм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 xml:space="preserve">ченные в приливно-отливной зоне рыбы входят в состав семи </w:t>
            </w:r>
            <w:proofErr w:type="spellStart"/>
            <w:r w:rsidRPr="00B26119">
              <w:rPr>
                <w:rFonts w:ascii="PT Astra Serif" w:hAnsi="PT Astra Serif" w:cs="Times New Roman"/>
              </w:rPr>
              <w:t>ихтиоценов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но ядро (86,9%) формируют представители лишь трех из них − </w:t>
            </w:r>
            <w:proofErr w:type="gramStart"/>
            <w:r w:rsidRPr="00B26119">
              <w:rPr>
                <w:rFonts w:ascii="PT Astra Serif" w:hAnsi="PT Astra Serif" w:cs="Times New Roman"/>
              </w:rPr>
              <w:t>литорального</w:t>
            </w:r>
            <w:proofErr w:type="gramEnd"/>
            <w:r w:rsidRPr="00B26119">
              <w:rPr>
                <w:rFonts w:ascii="PT Astra Serif" w:hAnsi="PT Astra Serif" w:cs="Times New Roman"/>
              </w:rPr>
              <w:t xml:space="preserve">, сублиторального и </w:t>
            </w:r>
            <w:proofErr w:type="spellStart"/>
            <w:r w:rsidRPr="00B26119">
              <w:rPr>
                <w:rFonts w:ascii="PT Astra Serif" w:hAnsi="PT Astra Serif" w:cs="Times New Roman"/>
              </w:rPr>
              <w:t>элиторального</w:t>
            </w:r>
            <w:proofErr w:type="spellEnd"/>
            <w:r w:rsidRPr="00B26119">
              <w:rPr>
                <w:rFonts w:ascii="PT Astra Serif" w:hAnsi="PT Astra Serif" w:cs="Times New Roman"/>
              </w:rPr>
              <w:t>. Большинство видов относятся к категории редких (56,3−81,8%), преобладающая часть зарегистр</w:t>
            </w:r>
            <w:r w:rsidRPr="00B26119">
              <w:rPr>
                <w:rFonts w:ascii="PT Astra Serif" w:hAnsi="PT Astra Serif" w:cs="Times New Roman"/>
              </w:rPr>
              <w:t>и</w:t>
            </w:r>
            <w:r w:rsidRPr="00B26119">
              <w:rPr>
                <w:rFonts w:ascii="PT Astra Serif" w:hAnsi="PT Astra Serif" w:cs="Times New Roman"/>
              </w:rPr>
              <w:t xml:space="preserve">рованных в приливно-отливной зоне </w:t>
            </w:r>
            <w:proofErr w:type="spellStart"/>
            <w:r w:rsidRPr="00B26119">
              <w:rPr>
                <w:rFonts w:ascii="PT Astra Serif" w:hAnsi="PT Astra Serif" w:cs="Times New Roman"/>
              </w:rPr>
              <w:t>прикамчатских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вод рыб представлена молодью.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  <w:b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 xml:space="preserve"> видовой состав, </w:t>
            </w:r>
            <w:proofErr w:type="spellStart"/>
            <w:r w:rsidRPr="00B26119">
              <w:rPr>
                <w:rFonts w:ascii="PT Astra Serif" w:hAnsi="PT Astra Serif" w:cs="Times New Roman"/>
              </w:rPr>
              <w:t>ихтиоцены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, обилие, приливно-отливная зона, </w:t>
            </w:r>
            <w:proofErr w:type="spellStart"/>
            <w:r w:rsidRPr="00B26119">
              <w:rPr>
                <w:rFonts w:ascii="PT Astra Serif" w:hAnsi="PT Astra Serif" w:cs="Times New Roman"/>
              </w:rPr>
              <w:t>прикамчатские</w:t>
            </w:r>
            <w:proofErr w:type="spellEnd"/>
            <w:r w:rsidRPr="00B26119">
              <w:rPr>
                <w:rFonts w:ascii="PT Astra Serif" w:hAnsi="PT Astra Serif" w:cs="Times New Roman"/>
              </w:rPr>
              <w:t xml:space="preserve"> в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ды.</w:t>
            </w:r>
          </w:p>
          <w:p w:rsidR="003D3E73" w:rsidRPr="00B26119" w:rsidRDefault="003D3E73" w:rsidP="003D3E73">
            <w:pPr>
              <w:rPr>
                <w:rFonts w:ascii="PT Astra Serif" w:hAnsi="PT Astra Serif"/>
              </w:rPr>
            </w:pPr>
          </w:p>
        </w:tc>
      </w:tr>
      <w:tr w:rsidR="003D3E73" w:rsidRPr="00B26119" w:rsidTr="003D3E73">
        <w:trPr>
          <w:jc w:val="center"/>
        </w:trPr>
        <w:tc>
          <w:tcPr>
            <w:tcW w:w="9571" w:type="dxa"/>
          </w:tcPr>
          <w:p w:rsidR="003D3E73" w:rsidRPr="00B26119" w:rsidRDefault="003D3E73" w:rsidP="00B26119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lastRenderedPageBreak/>
              <w:t>УДК 634.75</w:t>
            </w:r>
            <w:r w:rsidRPr="00B26119">
              <w:rPr>
                <w:rFonts w:ascii="PT Astra Serif" w:hAnsi="PT Astra Serif" w:cs="Times New Roman"/>
                <w:snapToGrid w:val="0"/>
              </w:rPr>
              <w:t>:631.524.84:631.8</w:t>
            </w:r>
            <w:r w:rsidRPr="00B26119">
              <w:rPr>
                <w:rFonts w:ascii="PT Astra Serif" w:hAnsi="PT Astra Serif" w:cs="Times New Roman"/>
              </w:rPr>
              <w:t xml:space="preserve">                                          </w:t>
            </w:r>
            <w:proofErr w:type="spellStart"/>
            <w:r w:rsidRPr="00B26119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B26119">
              <w:rPr>
                <w:rFonts w:ascii="PT Astra Serif" w:hAnsi="PT Astra Serif" w:cs="Times New Roman"/>
                <w:iCs/>
              </w:rPr>
              <w:t>: 10.17217/2079-0333-2020-53-81-92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Times New Roman"/>
                <w:b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Times New Roman"/>
                <w:b/>
                <w:bCs/>
                <w:caps/>
                <w:snapToGrid w:val="0"/>
              </w:rPr>
            </w:pPr>
            <w:r w:rsidRPr="00B26119">
              <w:rPr>
                <w:rFonts w:ascii="PT Astra Serif" w:hAnsi="PT Astra Serif" w:cs="Times New Roman"/>
                <w:b/>
                <w:bCs/>
                <w:caps/>
                <w:snapToGrid w:val="0"/>
              </w:rPr>
              <w:t xml:space="preserve">генеративная и вегетативная продуктивность </w:t>
            </w:r>
            <w:r w:rsidRPr="00B26119">
              <w:rPr>
                <w:rFonts w:ascii="PT Astra Serif" w:hAnsi="PT Astra Serif" w:cs="Times New Roman"/>
                <w:b/>
                <w:bCs/>
                <w:caps/>
                <w:snapToGrid w:val="0"/>
              </w:rPr>
              <w:br/>
              <w:t xml:space="preserve">земляники крупноплодной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  <w:lang w:val="en-US"/>
              </w:rPr>
              <w:t>FRAGARIA</w:t>
            </w:r>
            <w:proofErr w:type="spellEnd"/>
            <w:r w:rsidRPr="00B26119">
              <w:rPr>
                <w:rFonts w:ascii="PT Astra Serif" w:hAnsi="PT Astra Serif" w:cs="Times New Roman"/>
                <w:b/>
                <w:i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b/>
                <w:i/>
                <w:lang w:val="en-US"/>
              </w:rPr>
              <w:t>ANANASSA</w:t>
            </w:r>
            <w:proofErr w:type="spellEnd"/>
            <w:r w:rsidRPr="00B26119">
              <w:rPr>
                <w:rFonts w:ascii="PT Astra Serif" w:hAnsi="PT Astra Serif" w:cs="Times New Roman"/>
                <w:b/>
              </w:rPr>
              <w:t xml:space="preserve"> </w:t>
            </w:r>
            <w:r w:rsidRPr="00B26119">
              <w:rPr>
                <w:rFonts w:ascii="PT Astra Serif" w:hAnsi="PT Astra Serif" w:cs="Times New Roman"/>
                <w:b/>
              </w:rPr>
              <w:br/>
              <w:t xml:space="preserve">ПРИ </w:t>
            </w:r>
            <w:r w:rsidRPr="00B26119">
              <w:rPr>
                <w:rFonts w:ascii="PT Astra Serif" w:hAnsi="PT Astra Serif" w:cs="Times New Roman"/>
                <w:b/>
                <w:bCs/>
                <w:caps/>
                <w:snapToGrid w:val="0"/>
              </w:rPr>
              <w:t xml:space="preserve">ПрименениИ БИОСТИМУЛЯТОРОВ </w:t>
            </w:r>
            <w:r w:rsidRPr="00B26119">
              <w:rPr>
                <w:rFonts w:ascii="PT Astra Serif" w:hAnsi="PT Astra Serif" w:cs="Times New Roman"/>
                <w:b/>
                <w:bCs/>
                <w:caps/>
                <w:snapToGrid w:val="0"/>
              </w:rPr>
              <w:br/>
              <w:t>из морских гидробионтов КАМЧАТСКОГО ШЕЛЬФА</w:t>
            </w: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Times New Roman"/>
                <w:b/>
                <w:bCs/>
                <w:caps/>
                <w:snapToGrid w:val="0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>Дахно Т.Г., Дахно О.А.</w:t>
            </w: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rPr>
                <w:rFonts w:ascii="PT Astra Serif" w:hAnsi="PT Astra Serif" w:cs="Times New Roman"/>
              </w:rPr>
            </w:pPr>
            <w:r w:rsidRPr="00B26119">
              <w:rPr>
                <w:rFonts w:ascii="PT Astra Serif" w:hAnsi="PT Astra Serif" w:cs="Times New Roman"/>
              </w:rPr>
              <w:t>В статье приведены результаты исследования</w:t>
            </w:r>
            <w:r w:rsidRPr="00B26119">
              <w:rPr>
                <w:rFonts w:ascii="PT Astra Serif" w:hAnsi="PT Astra Serif" w:cs="Times New Roman"/>
                <w:bCs/>
              </w:rPr>
              <w:t xml:space="preserve"> влияния органических удобрений (биостимулят</w:t>
            </w:r>
            <w:r w:rsidRPr="00B26119">
              <w:rPr>
                <w:rFonts w:ascii="PT Astra Serif" w:hAnsi="PT Astra Serif" w:cs="Times New Roman"/>
                <w:bCs/>
              </w:rPr>
              <w:t>о</w:t>
            </w:r>
            <w:r w:rsidRPr="00B26119">
              <w:rPr>
                <w:rFonts w:ascii="PT Astra Serif" w:hAnsi="PT Astra Serif" w:cs="Times New Roman"/>
                <w:bCs/>
              </w:rPr>
              <w:t>ров) «</w:t>
            </w:r>
            <w:proofErr w:type="spellStart"/>
            <w:r w:rsidRPr="00B26119">
              <w:rPr>
                <w:rFonts w:ascii="PT Astra Serif" w:hAnsi="PT Astra Serif" w:cs="Times New Roman"/>
                <w:bCs/>
              </w:rPr>
              <w:t>Био-Альго</w:t>
            </w:r>
            <w:proofErr w:type="spellEnd"/>
            <w:r w:rsidRPr="00B26119">
              <w:rPr>
                <w:rFonts w:ascii="PT Astra Serif" w:hAnsi="PT Astra Serif" w:cs="Times New Roman"/>
                <w:bCs/>
              </w:rPr>
              <w:t>», «</w:t>
            </w:r>
            <w:proofErr w:type="spellStart"/>
            <w:r w:rsidRPr="00B26119">
              <w:rPr>
                <w:rFonts w:ascii="PT Astra Serif" w:hAnsi="PT Astra Serif" w:cs="Times New Roman"/>
                <w:bCs/>
              </w:rPr>
              <w:t>Био-Микс</w:t>
            </w:r>
            <w:proofErr w:type="spellEnd"/>
            <w:r w:rsidRPr="00B26119">
              <w:rPr>
                <w:rFonts w:ascii="PT Astra Serif" w:hAnsi="PT Astra Serif" w:cs="Times New Roman"/>
                <w:bCs/>
              </w:rPr>
              <w:t>», «</w:t>
            </w:r>
            <w:proofErr w:type="spellStart"/>
            <w:r w:rsidRPr="00B26119">
              <w:rPr>
                <w:rFonts w:ascii="PT Astra Serif" w:hAnsi="PT Astra Serif" w:cs="Times New Roman"/>
                <w:bCs/>
              </w:rPr>
              <w:t>Био-Фиш</w:t>
            </w:r>
            <w:proofErr w:type="spellEnd"/>
            <w:r w:rsidRPr="00B26119">
              <w:rPr>
                <w:rFonts w:ascii="PT Astra Serif" w:hAnsi="PT Astra Serif" w:cs="Times New Roman"/>
                <w:bCs/>
              </w:rPr>
              <w:t>» из морских гидробионтов камчатского шельфа на п</w:t>
            </w:r>
            <w:r w:rsidRPr="00B26119">
              <w:rPr>
                <w:rFonts w:ascii="PT Astra Serif" w:hAnsi="PT Astra Serif" w:cs="Times New Roman"/>
                <w:bCs/>
              </w:rPr>
              <w:t>о</w:t>
            </w:r>
            <w:r w:rsidRPr="00B26119">
              <w:rPr>
                <w:rFonts w:ascii="PT Astra Serif" w:hAnsi="PT Astra Serif" w:cs="Times New Roman"/>
                <w:bCs/>
              </w:rPr>
              <w:t>казатели генеративной и вегетативной продуктивности земляники крупноплодной.</w:t>
            </w:r>
            <w:r w:rsidRPr="00B26119">
              <w:rPr>
                <w:rFonts w:ascii="PT Astra Serif" w:hAnsi="PT Astra Serif" w:cs="Times New Roman"/>
              </w:rPr>
              <w:t xml:space="preserve"> Сравнение действия органических биостимуляторов на такие показатели, как зимостойкость, общее состо</w:t>
            </w:r>
            <w:r w:rsidRPr="00B26119">
              <w:rPr>
                <w:rFonts w:ascii="PT Astra Serif" w:hAnsi="PT Astra Serif" w:cs="Times New Roman"/>
              </w:rPr>
              <w:t>я</w:t>
            </w:r>
            <w:r w:rsidRPr="00B26119">
              <w:rPr>
                <w:rFonts w:ascii="PT Astra Serif" w:hAnsi="PT Astra Serif" w:cs="Times New Roman"/>
              </w:rPr>
              <w:t xml:space="preserve">ние и поражение </w:t>
            </w:r>
            <w:proofErr w:type="spellStart"/>
            <w:r w:rsidRPr="00B26119">
              <w:rPr>
                <w:rFonts w:ascii="PT Astra Serif" w:hAnsi="PT Astra Serif" w:cs="Times New Roman"/>
              </w:rPr>
              <w:t>пат</w:t>
            </w:r>
            <w:r w:rsidRPr="00B26119">
              <w:rPr>
                <w:rFonts w:ascii="PT Astra Serif" w:hAnsi="PT Astra Serif" w:cs="Times New Roman"/>
              </w:rPr>
              <w:t>о</w:t>
            </w:r>
            <w:r w:rsidRPr="00B26119">
              <w:rPr>
                <w:rFonts w:ascii="PT Astra Serif" w:hAnsi="PT Astra Serif" w:cs="Times New Roman"/>
              </w:rPr>
              <w:t>генами</w:t>
            </w:r>
            <w:proofErr w:type="spellEnd"/>
            <w:r w:rsidRPr="00B26119">
              <w:rPr>
                <w:rFonts w:ascii="PT Astra Serif" w:hAnsi="PT Astra Serif" w:cs="Times New Roman"/>
              </w:rPr>
              <w:t>, выявило, что наиболее эффективным является биопрепарат «</w:t>
            </w:r>
            <w:proofErr w:type="spellStart"/>
            <w:r w:rsidRPr="00B26119">
              <w:rPr>
                <w:rFonts w:ascii="PT Astra Serif" w:hAnsi="PT Astra Serif" w:cs="Times New Roman"/>
              </w:rPr>
              <w:t>Био-Альго</w:t>
            </w:r>
            <w:proofErr w:type="spellEnd"/>
            <w:r w:rsidRPr="00B26119">
              <w:rPr>
                <w:rFonts w:ascii="PT Astra Serif" w:hAnsi="PT Astra Serif" w:cs="Times New Roman"/>
              </w:rPr>
              <w:t>», применение которого оказало положительное влияние на развитие растений земляники и последующие восстановительные процессы после перезимовки, повышая их генеративную и вег</w:t>
            </w:r>
            <w:r w:rsidRPr="00B26119">
              <w:rPr>
                <w:rFonts w:ascii="PT Astra Serif" w:hAnsi="PT Astra Serif" w:cs="Times New Roman"/>
              </w:rPr>
              <w:t>е</w:t>
            </w:r>
            <w:r w:rsidRPr="00B26119">
              <w:rPr>
                <w:rFonts w:ascii="PT Astra Serif" w:hAnsi="PT Astra Serif" w:cs="Times New Roman"/>
              </w:rPr>
              <w:t>тативную продуктивность. При обр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>ботке растений земляники препаратом отмечено увеличение массы ягоды, что в итоге повышает генеративную продуктивность, не снижая качественных х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>рактеристик плодов – содержание аскорбиновой кислоты и растворимых сухих веществ. Устано</w:t>
            </w:r>
            <w:r w:rsidRPr="00B26119">
              <w:rPr>
                <w:rFonts w:ascii="PT Astra Serif" w:hAnsi="PT Astra Serif" w:cs="Times New Roman"/>
              </w:rPr>
              <w:t>в</w:t>
            </w:r>
            <w:r w:rsidRPr="00B26119">
              <w:rPr>
                <w:rFonts w:ascii="PT Astra Serif" w:hAnsi="PT Astra Serif" w:cs="Times New Roman"/>
              </w:rPr>
              <w:t>лено, что использование органического удобрения «</w:t>
            </w:r>
            <w:proofErr w:type="spellStart"/>
            <w:r w:rsidRPr="00B26119">
              <w:rPr>
                <w:rFonts w:ascii="PT Astra Serif" w:hAnsi="PT Astra Serif" w:cs="Times New Roman"/>
              </w:rPr>
              <w:t>Био-Альго</w:t>
            </w:r>
            <w:proofErr w:type="spellEnd"/>
            <w:r w:rsidRPr="00B26119">
              <w:rPr>
                <w:rFonts w:ascii="PT Astra Serif" w:hAnsi="PT Astra Serif" w:cs="Times New Roman"/>
              </w:rPr>
              <w:t>» способствует повышению генер</w:t>
            </w:r>
            <w:r w:rsidRPr="00B26119">
              <w:rPr>
                <w:rFonts w:ascii="PT Astra Serif" w:hAnsi="PT Astra Serif" w:cs="Times New Roman"/>
              </w:rPr>
              <w:t>а</w:t>
            </w:r>
            <w:r w:rsidRPr="00B26119">
              <w:rPr>
                <w:rFonts w:ascii="PT Astra Serif" w:hAnsi="PT Astra Serif" w:cs="Times New Roman"/>
              </w:rPr>
              <w:t>тивной продуктивности земляники кру</w:t>
            </w:r>
            <w:r w:rsidRPr="00B26119">
              <w:rPr>
                <w:rFonts w:ascii="PT Astra Serif" w:hAnsi="PT Astra Serif" w:cs="Times New Roman"/>
              </w:rPr>
              <w:t>п</w:t>
            </w:r>
            <w:r w:rsidRPr="00B26119">
              <w:rPr>
                <w:rFonts w:ascii="PT Astra Serif" w:hAnsi="PT Astra Serif" w:cs="Times New Roman"/>
              </w:rPr>
              <w:t xml:space="preserve">ноплодной в 1,3 раза, а вегетативной – в 1,6 раза. </w:t>
            </w:r>
          </w:p>
          <w:p w:rsidR="003D3E73" w:rsidRPr="00B26119" w:rsidRDefault="003D3E73" w:rsidP="003D3E73">
            <w:pPr>
              <w:ind w:firstLine="426"/>
              <w:rPr>
                <w:rFonts w:ascii="PT Astra Serif" w:hAnsi="PT Astra Serif" w:cs="Times New Roman"/>
              </w:rPr>
            </w:pPr>
          </w:p>
          <w:p w:rsidR="003D3E73" w:rsidRPr="00B26119" w:rsidRDefault="003D3E73" w:rsidP="003D3E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Times New Roman"/>
                <w:snapToGrid w:val="0"/>
              </w:rPr>
            </w:pPr>
            <w:r w:rsidRPr="00B26119">
              <w:rPr>
                <w:rFonts w:ascii="PT Astra Serif" w:hAnsi="PT Astra Serif" w:cs="Times New Roman"/>
                <w:b/>
              </w:rPr>
              <w:t>Ключевые слова:</w:t>
            </w:r>
            <w:r w:rsidRPr="00B26119">
              <w:rPr>
                <w:rFonts w:ascii="PT Astra Serif" w:hAnsi="PT Astra Serif" w:cs="Times New Roman"/>
              </w:rPr>
              <w:t> органические удобрения, биостимуляторы</w:t>
            </w:r>
            <w:r w:rsidRPr="00B26119">
              <w:rPr>
                <w:rFonts w:ascii="PT Astra Serif" w:hAnsi="PT Astra Serif" w:cs="Times New Roman"/>
                <w:snapToGrid w:val="0"/>
              </w:rPr>
              <w:t>, «</w:t>
            </w:r>
            <w:proofErr w:type="spellStart"/>
            <w:r w:rsidRPr="00B26119">
              <w:rPr>
                <w:rFonts w:ascii="PT Astra Serif" w:hAnsi="PT Astra Serif" w:cs="Times New Roman"/>
                <w:snapToGrid w:val="0"/>
              </w:rPr>
              <w:t>Био-Альго</w:t>
            </w:r>
            <w:proofErr w:type="spellEnd"/>
            <w:r w:rsidRPr="00B26119">
              <w:rPr>
                <w:rFonts w:ascii="PT Astra Serif" w:hAnsi="PT Astra Serif" w:cs="Times New Roman"/>
                <w:snapToGrid w:val="0"/>
              </w:rPr>
              <w:t>», «</w:t>
            </w:r>
            <w:proofErr w:type="spellStart"/>
            <w:r w:rsidRPr="00B26119">
              <w:rPr>
                <w:rFonts w:ascii="PT Astra Serif" w:hAnsi="PT Astra Serif" w:cs="Times New Roman"/>
                <w:snapToGrid w:val="0"/>
              </w:rPr>
              <w:t>Био-Микс</w:t>
            </w:r>
            <w:proofErr w:type="spellEnd"/>
            <w:r w:rsidRPr="00B26119">
              <w:rPr>
                <w:rFonts w:ascii="PT Astra Serif" w:hAnsi="PT Astra Serif" w:cs="Times New Roman"/>
                <w:snapToGrid w:val="0"/>
              </w:rPr>
              <w:t>», «</w:t>
            </w:r>
            <w:proofErr w:type="spellStart"/>
            <w:r w:rsidRPr="00B26119">
              <w:rPr>
                <w:rFonts w:ascii="PT Astra Serif" w:hAnsi="PT Astra Serif" w:cs="Times New Roman"/>
                <w:snapToGrid w:val="0"/>
              </w:rPr>
              <w:t>Био-Фиш</w:t>
            </w:r>
            <w:proofErr w:type="spellEnd"/>
            <w:r w:rsidRPr="00B26119">
              <w:rPr>
                <w:rFonts w:ascii="PT Astra Serif" w:hAnsi="PT Astra Serif" w:cs="Times New Roman"/>
                <w:snapToGrid w:val="0"/>
              </w:rPr>
              <w:t xml:space="preserve">», земляника крупноплодная, </w:t>
            </w:r>
            <w:proofErr w:type="spellStart"/>
            <w:r w:rsidRPr="00B26119">
              <w:rPr>
                <w:rFonts w:ascii="PT Astra Serif" w:hAnsi="PT Astra Serif" w:cs="Times New Roman"/>
                <w:i/>
                <w:snapToGrid w:val="0"/>
                <w:lang w:val="en-US"/>
              </w:rPr>
              <w:t>Fragaria</w:t>
            </w:r>
            <w:proofErr w:type="spellEnd"/>
            <w:r w:rsidRPr="00B26119">
              <w:rPr>
                <w:rFonts w:ascii="PT Astra Serif" w:hAnsi="PT Astra Serif" w:cs="Times New Roman"/>
                <w:i/>
                <w:snapToGrid w:val="0"/>
              </w:rPr>
              <w:t xml:space="preserve"> </w:t>
            </w:r>
            <w:proofErr w:type="spellStart"/>
            <w:r w:rsidRPr="00B26119">
              <w:rPr>
                <w:rFonts w:ascii="PT Astra Serif" w:hAnsi="PT Astra Serif" w:cs="Times New Roman"/>
                <w:i/>
                <w:snapToGrid w:val="0"/>
                <w:lang w:val="en-US"/>
              </w:rPr>
              <w:t>ananassa</w:t>
            </w:r>
            <w:proofErr w:type="spellEnd"/>
            <w:r w:rsidRPr="00B26119">
              <w:rPr>
                <w:rFonts w:ascii="PT Astra Serif" w:hAnsi="PT Astra Serif" w:cs="Times New Roman"/>
                <w:snapToGrid w:val="0"/>
              </w:rPr>
              <w:t>, генеративная продуктивность, вегетативная продукти</w:t>
            </w:r>
            <w:r w:rsidRPr="00B26119">
              <w:rPr>
                <w:rFonts w:ascii="PT Astra Serif" w:hAnsi="PT Astra Serif" w:cs="Times New Roman"/>
                <w:snapToGrid w:val="0"/>
              </w:rPr>
              <w:t>в</w:t>
            </w:r>
            <w:r w:rsidRPr="00B26119">
              <w:rPr>
                <w:rFonts w:ascii="PT Astra Serif" w:hAnsi="PT Astra Serif" w:cs="Times New Roman"/>
                <w:snapToGrid w:val="0"/>
              </w:rPr>
              <w:t xml:space="preserve">ность. </w:t>
            </w:r>
          </w:p>
          <w:p w:rsidR="003D3E73" w:rsidRPr="00B26119" w:rsidRDefault="003D3E73" w:rsidP="003D3E73">
            <w:pPr>
              <w:rPr>
                <w:rFonts w:ascii="PT Astra Serif" w:hAnsi="PT Astra Serif"/>
              </w:rPr>
            </w:pPr>
          </w:p>
        </w:tc>
      </w:tr>
    </w:tbl>
    <w:p w:rsidR="003D3E73" w:rsidRPr="00B26119" w:rsidRDefault="003D3E73" w:rsidP="003D3E73">
      <w:pPr>
        <w:rPr>
          <w:rFonts w:ascii="PT Astra Serif" w:hAnsi="PT Astra Serif"/>
        </w:rPr>
      </w:pPr>
    </w:p>
    <w:sectPr w:rsidR="003D3E73" w:rsidRPr="00B26119" w:rsidSect="003D3E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29" w:rsidRDefault="00A25829" w:rsidP="003D3E73">
      <w:r>
        <w:separator/>
      </w:r>
    </w:p>
  </w:endnote>
  <w:endnote w:type="continuationSeparator" w:id="0">
    <w:p w:rsidR="00A25829" w:rsidRDefault="00A25829" w:rsidP="003D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29" w:rsidRDefault="00A25829" w:rsidP="003D3E73">
      <w:r>
        <w:separator/>
      </w:r>
    </w:p>
  </w:footnote>
  <w:footnote w:type="continuationSeparator" w:id="0">
    <w:p w:rsidR="00A25829" w:rsidRDefault="00A25829" w:rsidP="003D3E73">
      <w:r>
        <w:continuationSeparator/>
      </w:r>
    </w:p>
  </w:footnote>
  <w:footnote w:id="1">
    <w:p w:rsidR="003D3E73" w:rsidRPr="00B26119" w:rsidRDefault="003D3E73" w:rsidP="003D3E73">
      <w:pPr>
        <w:pStyle w:val="a4"/>
        <w:rPr>
          <w:rFonts w:ascii="PT Astra Serif" w:hAnsi="PT Astra Serif" w:cs="Times New Roman"/>
          <w:lang w:val="en-US"/>
        </w:rPr>
      </w:pPr>
      <w:r w:rsidRPr="00B26119">
        <w:rPr>
          <w:rStyle w:val="a6"/>
          <w:rFonts w:ascii="PT Astra Serif" w:hAnsi="PT Astra Serif"/>
        </w:rPr>
        <w:sym w:font="Symbol" w:char="F02A"/>
      </w:r>
      <w:r w:rsidRPr="00B26119">
        <w:rPr>
          <w:rFonts w:ascii="PT Astra Serif" w:hAnsi="PT Astra Serif"/>
          <w:lang w:val="en-US"/>
        </w:rPr>
        <w:t xml:space="preserve"> </w:t>
      </w:r>
      <w:r w:rsidRPr="00B26119">
        <w:rPr>
          <w:rFonts w:ascii="PT Astra Serif" w:hAnsi="PT Astra Serif" w:cs="Times New Roman"/>
          <w:lang w:val="en-US"/>
        </w:rPr>
        <w:t> </w:t>
      </w:r>
      <w:r w:rsidRPr="00B26119">
        <w:rPr>
          <w:rFonts w:ascii="PT Astra Serif" w:hAnsi="PT Astra Serif" w:cs="Times New Roman"/>
        </w:rPr>
        <w:t>Исследование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выполнено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при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поддержке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РФФИ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в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рамках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научного</w:t>
      </w:r>
      <w:r w:rsidRPr="00B26119">
        <w:rPr>
          <w:rFonts w:ascii="PT Astra Serif" w:hAnsi="PT Astra Serif" w:cs="Times New Roman"/>
          <w:lang w:val="en-US"/>
        </w:rPr>
        <w:t xml:space="preserve"> </w:t>
      </w:r>
      <w:r w:rsidRPr="00B26119">
        <w:rPr>
          <w:rFonts w:ascii="PT Astra Serif" w:hAnsi="PT Astra Serif" w:cs="Times New Roman"/>
        </w:rPr>
        <w:t>проекта</w:t>
      </w:r>
      <w:r w:rsidRPr="00B26119">
        <w:rPr>
          <w:rFonts w:ascii="PT Astra Serif" w:hAnsi="PT Astra Serif" w:cs="Times New Roman"/>
          <w:lang w:val="en-US"/>
        </w:rPr>
        <w:t xml:space="preserve"> № 19-04-00285 </w:t>
      </w:r>
      <w:r w:rsidRPr="00B26119">
        <w:rPr>
          <w:rFonts w:ascii="PT Astra Serif" w:hAnsi="PT Astra Serif" w:cs="Times New Roman"/>
        </w:rPr>
        <w:t>А</w:t>
      </w:r>
      <w:r w:rsidRPr="00B26119">
        <w:rPr>
          <w:rFonts w:ascii="PT Astra Serif" w:hAnsi="PT Astra Serif" w:cs="Times New Roman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E73"/>
    <w:rsid w:val="003D3E73"/>
    <w:rsid w:val="004A39F1"/>
    <w:rsid w:val="009E231D"/>
    <w:rsid w:val="00A25829"/>
    <w:rsid w:val="00B01D8A"/>
    <w:rsid w:val="00B26119"/>
    <w:rsid w:val="00C14D10"/>
    <w:rsid w:val="00F1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73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D3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Семейство"/>
    <w:basedOn w:val="a"/>
    <w:link w:val="20"/>
    <w:qFormat/>
    <w:rsid w:val="003D3E73"/>
    <w:pPr>
      <w:spacing w:before="150" w:line="270" w:lineRule="atLeast"/>
      <w:outlineLvl w:val="1"/>
    </w:pPr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D3E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3E73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3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Семейство Знак"/>
    <w:basedOn w:val="a0"/>
    <w:link w:val="2"/>
    <w:rsid w:val="003D3E73"/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paragraph" w:styleId="a4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5"/>
    <w:uiPriority w:val="99"/>
    <w:rsid w:val="003D3E73"/>
    <w:rPr>
      <w:sz w:val="20"/>
      <w:szCs w:val="20"/>
    </w:rPr>
  </w:style>
  <w:style w:type="character" w:customStyle="1" w:styleId="a5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4"/>
    <w:uiPriority w:val="99"/>
    <w:rsid w:val="003D3E73"/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footnote reference"/>
    <w:aliases w:val="Ссылка на сноску 45,Appel note de bas de page,Знак сноски 1,Знак сноски-FN,Ciae niinee-FN,Referencia nota al pie"/>
    <w:basedOn w:val="a0"/>
    <w:uiPriority w:val="99"/>
    <w:rsid w:val="003D3E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2023-09-27T22:49:00Z</dcterms:created>
  <dcterms:modified xsi:type="dcterms:W3CDTF">2023-09-27T23:01:00Z</dcterms:modified>
</cp:coreProperties>
</file>