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453" w:rsidRPr="00A01663" w:rsidRDefault="006D7453" w:rsidP="006D7453">
      <w:pPr>
        <w:spacing w:after="0" w:line="240" w:lineRule="auto"/>
        <w:jc w:val="center"/>
        <w:rPr>
          <w:rFonts w:ascii="PT Astra Serif" w:hAnsi="PT Astra Serif"/>
          <w:b/>
        </w:rPr>
      </w:pPr>
      <w:r w:rsidRPr="00A01663">
        <w:rPr>
          <w:rFonts w:ascii="PT Astra Serif" w:hAnsi="PT Astra Serif"/>
          <w:b/>
        </w:rPr>
        <w:t>Вестник 48</w:t>
      </w:r>
    </w:p>
    <w:p w:rsidR="006D7453" w:rsidRPr="00A01663" w:rsidRDefault="006D7453" w:rsidP="006D7453">
      <w:pPr>
        <w:spacing w:after="0" w:line="240" w:lineRule="auto"/>
        <w:rPr>
          <w:rFonts w:ascii="PT Astra Serif" w:hAnsi="PT Astra Serif"/>
        </w:rPr>
      </w:pPr>
    </w:p>
    <w:tbl>
      <w:tblPr>
        <w:tblStyle w:val="a3"/>
        <w:tblW w:w="0" w:type="auto"/>
        <w:jc w:val="center"/>
        <w:tblLook w:val="04A0"/>
      </w:tblPr>
      <w:tblGrid>
        <w:gridCol w:w="9571"/>
      </w:tblGrid>
      <w:tr w:rsidR="006D7453" w:rsidRPr="00A01663" w:rsidTr="006D7453">
        <w:trPr>
          <w:jc w:val="center"/>
        </w:trPr>
        <w:tc>
          <w:tcPr>
            <w:tcW w:w="9571" w:type="dxa"/>
          </w:tcPr>
          <w:p w:rsidR="006D7453" w:rsidRPr="00A01663" w:rsidRDefault="006D7453" w:rsidP="006D7453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A01663">
              <w:rPr>
                <w:rFonts w:ascii="PT Astra Serif" w:hAnsi="PT Astra Serif"/>
                <w:sz w:val="22"/>
                <w:szCs w:val="22"/>
              </w:rPr>
              <w:t xml:space="preserve">УДК 57.087:574.5 </w:t>
            </w:r>
          </w:p>
          <w:p w:rsidR="006D7453" w:rsidRPr="00A01663" w:rsidRDefault="006D7453" w:rsidP="006D7453">
            <w:pPr>
              <w:pStyle w:val="Default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6D7453" w:rsidRPr="00A01663" w:rsidRDefault="006D7453" w:rsidP="006D7453">
            <w:pPr>
              <w:pStyle w:val="Defaul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1663">
              <w:rPr>
                <w:rFonts w:ascii="PT Astra Serif" w:hAnsi="PT Astra Serif"/>
                <w:b/>
                <w:bCs/>
                <w:sz w:val="22"/>
                <w:szCs w:val="22"/>
              </w:rPr>
              <w:t>А.А. Дуленин, О.А. Кудревский</w:t>
            </w:r>
          </w:p>
          <w:p w:rsidR="006D7453" w:rsidRPr="00A01663" w:rsidRDefault="006D7453" w:rsidP="006D7453">
            <w:pPr>
              <w:pStyle w:val="Default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6D7453" w:rsidRPr="00A01663" w:rsidRDefault="006D7453" w:rsidP="006D7453">
            <w:pPr>
              <w:pStyle w:val="Default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A01663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ИСПОЛЬЗОВАНИЕ ЛЕГКОГО ТЕЛЕУПРАВЛЯЕМОГО </w:t>
            </w:r>
            <w:r w:rsidR="00A01663">
              <w:rPr>
                <w:rFonts w:ascii="PT Astra Serif" w:hAnsi="PT Astra Serif"/>
                <w:b/>
                <w:bCs/>
                <w:sz w:val="22"/>
                <w:szCs w:val="22"/>
              </w:rPr>
              <w:br/>
            </w:r>
            <w:r w:rsidRPr="00A01663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НЕОБИТАЕМОГО ПОДВОДНОГО АППАРАТА </w:t>
            </w:r>
            <w:r w:rsidR="00A01663">
              <w:rPr>
                <w:rFonts w:ascii="PT Astra Serif" w:hAnsi="PT Astra Serif"/>
                <w:b/>
                <w:bCs/>
                <w:sz w:val="22"/>
                <w:szCs w:val="22"/>
              </w:rPr>
              <w:br/>
            </w:r>
            <w:r w:rsidRPr="00A01663">
              <w:rPr>
                <w:rFonts w:ascii="PT Astra Serif" w:hAnsi="PT Astra Serif"/>
                <w:b/>
                <w:bCs/>
                <w:sz w:val="22"/>
                <w:szCs w:val="22"/>
              </w:rPr>
              <w:t>ДЛЯ МОРСКИХ ПРИБРЕЖНЫХ ГИДРОБИОЛОГИЧЕСКИХ ИССЛЕДОВАНИЙ</w:t>
            </w:r>
          </w:p>
          <w:p w:rsidR="006D7453" w:rsidRPr="00A01663" w:rsidRDefault="006D7453" w:rsidP="006D7453">
            <w:pPr>
              <w:pStyle w:val="Default"/>
              <w:ind w:firstLine="397"/>
              <w:rPr>
                <w:rFonts w:ascii="PT Astra Serif" w:hAnsi="PT Astra Serif"/>
                <w:sz w:val="22"/>
                <w:szCs w:val="22"/>
              </w:rPr>
            </w:pPr>
          </w:p>
          <w:p w:rsidR="006D7453" w:rsidRPr="00A01663" w:rsidRDefault="006D7453" w:rsidP="006D7453">
            <w:pPr>
              <w:pStyle w:val="Default"/>
              <w:ind w:firstLine="397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01663">
              <w:rPr>
                <w:rFonts w:ascii="PT Astra Serif" w:hAnsi="PT Astra Serif"/>
                <w:sz w:val="22"/>
                <w:szCs w:val="22"/>
              </w:rPr>
              <w:t>В работе обобщен опыт авторов по использованию в морских гидробиологических исследов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а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ниях прибрежной зоны легких телеуправляемых необитаемых подводных аппаратов (ТНПА). П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о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лученные с их помощью данные позволяют составить целостное представление о донных лан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д</w:t>
            </w:r>
            <w:r w:rsidRPr="00A01663">
              <w:rPr>
                <w:rFonts w:ascii="PT Astra Serif" w:hAnsi="PT Astra Serif"/>
                <w:sz w:val="22"/>
                <w:szCs w:val="22"/>
              </w:rPr>
              <w:t>шафтах и распределении на морском дне эпибентосных организмов, их технические возможности обеспечивают полную обратную связь аппарата с оператором, высокую скорость работы, знач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и</w:t>
            </w:r>
            <w:r w:rsidRPr="00A01663">
              <w:rPr>
                <w:rFonts w:ascii="PT Astra Serif" w:hAnsi="PT Astra Serif"/>
                <w:sz w:val="22"/>
                <w:szCs w:val="22"/>
              </w:rPr>
              <w:t>тельную глубину погружения, достаточно точное географическое позиционирование. ТНПА им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е</w:t>
            </w:r>
            <w:r w:rsidRPr="00A01663">
              <w:rPr>
                <w:rFonts w:ascii="PT Astra Serif" w:hAnsi="PT Astra Serif"/>
                <w:sz w:val="22"/>
                <w:szCs w:val="22"/>
              </w:rPr>
              <w:t>ют относительно низкую стоимость. Дополнительным преимуществом телеуправляемых аппар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а</w:t>
            </w:r>
            <w:r w:rsidRPr="00A01663">
              <w:rPr>
                <w:rFonts w:ascii="PT Astra Serif" w:hAnsi="PT Astra Serif"/>
                <w:sz w:val="22"/>
                <w:szCs w:val="22"/>
              </w:rPr>
              <w:t>тов является отсутствие законодательного регулирования и регламентации их работы, как это имеет место при проведении водолазных работ. Основным недостатком использования ТНПА я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в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ляется невозможность систематического отбора проб. Оптимально их использование в сочетании с техническими приспособлениями и методами сбора материала, обеспечивающими регулярный отбор проб – дражным, дночерпательным, водолазным. Методы организации и проведения гидр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о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биологических исследований с использованием ТНПА аналогичны методам водолазных съемок, но имеют ряд технических особенностей. Исследования авторов показывают, что они пригодны для подводного ландшафтного картирования, проведения промысловой разведки донных бесп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о</w:t>
            </w:r>
            <w:r w:rsidRPr="00A01663">
              <w:rPr>
                <w:rFonts w:ascii="PT Astra Serif" w:hAnsi="PT Astra Serif"/>
                <w:sz w:val="22"/>
                <w:szCs w:val="22"/>
              </w:rPr>
              <w:t xml:space="preserve">звоночных, качественного и количественного учета массовых гидробионтов. </w:t>
            </w:r>
          </w:p>
          <w:p w:rsidR="006D7453" w:rsidRPr="00A01663" w:rsidRDefault="006D7453" w:rsidP="006D7453">
            <w:pPr>
              <w:pStyle w:val="Default"/>
              <w:ind w:firstLine="397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6D7453" w:rsidRPr="00A01663" w:rsidRDefault="006D7453" w:rsidP="006D7453">
            <w:pPr>
              <w:pStyle w:val="Default"/>
              <w:ind w:firstLine="397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01663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Ключевые слова: 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морские гидробиологические исследования, прибрежная зона, телеупра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в</w:t>
            </w:r>
            <w:r w:rsidRPr="00A01663">
              <w:rPr>
                <w:rFonts w:ascii="PT Astra Serif" w:hAnsi="PT Astra Serif"/>
                <w:sz w:val="22"/>
                <w:szCs w:val="22"/>
              </w:rPr>
              <w:t xml:space="preserve">ляемый необитаемый подводный аппарат (ТНПА). </w:t>
            </w:r>
          </w:p>
          <w:p w:rsidR="006D7453" w:rsidRPr="00A01663" w:rsidRDefault="006D7453" w:rsidP="006D7453">
            <w:pPr>
              <w:ind w:firstLine="397"/>
              <w:rPr>
                <w:rFonts w:ascii="PT Astra Serif" w:hAnsi="PT Astra Serif"/>
                <w:i/>
                <w:iCs/>
              </w:rPr>
            </w:pPr>
          </w:p>
          <w:p w:rsidR="006D7453" w:rsidRPr="00A01663" w:rsidRDefault="006D7453" w:rsidP="006D7453">
            <w:pPr>
              <w:ind w:firstLine="397"/>
              <w:jc w:val="right"/>
              <w:rPr>
                <w:rFonts w:ascii="PT Astra Serif" w:hAnsi="PT Astra Serif"/>
                <w:i/>
                <w:iCs/>
              </w:rPr>
            </w:pPr>
            <w:r w:rsidRPr="00A01663">
              <w:rPr>
                <w:rFonts w:ascii="PT Astra Serif" w:hAnsi="PT Astra Serif"/>
                <w:i/>
                <w:iCs/>
              </w:rPr>
              <w:t>DOI: 10.17217/2079-0333-2019-48-6-17</w:t>
            </w:r>
          </w:p>
          <w:p w:rsidR="006D7453" w:rsidRPr="00A01663" w:rsidRDefault="006D7453" w:rsidP="006D7453">
            <w:pPr>
              <w:ind w:firstLine="397"/>
              <w:jc w:val="right"/>
              <w:rPr>
                <w:rFonts w:ascii="PT Astra Serif" w:hAnsi="PT Astra Serif"/>
              </w:rPr>
            </w:pPr>
          </w:p>
        </w:tc>
      </w:tr>
      <w:tr w:rsidR="006D7453" w:rsidRPr="00A01663" w:rsidTr="006D7453">
        <w:trPr>
          <w:jc w:val="center"/>
        </w:trPr>
        <w:tc>
          <w:tcPr>
            <w:tcW w:w="9571" w:type="dxa"/>
          </w:tcPr>
          <w:p w:rsidR="006D7453" w:rsidRPr="00A01663" w:rsidRDefault="006D7453" w:rsidP="00A01663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A01663">
              <w:rPr>
                <w:rFonts w:ascii="PT Astra Serif" w:hAnsi="PT Astra Serif"/>
                <w:sz w:val="22"/>
                <w:szCs w:val="22"/>
              </w:rPr>
              <w:t xml:space="preserve">УДК 621.3.018.783.4:621.316.178 </w:t>
            </w:r>
          </w:p>
          <w:p w:rsidR="00A01663" w:rsidRPr="00A01663" w:rsidRDefault="00A01663" w:rsidP="00A01663">
            <w:pPr>
              <w:pStyle w:val="Default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6D7453" w:rsidRPr="00A01663" w:rsidRDefault="006D7453" w:rsidP="00A01663">
            <w:pPr>
              <w:pStyle w:val="Defaul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1663">
              <w:rPr>
                <w:rFonts w:ascii="PT Astra Serif" w:hAnsi="PT Astra Serif"/>
                <w:b/>
                <w:bCs/>
                <w:sz w:val="22"/>
                <w:szCs w:val="22"/>
              </w:rPr>
              <w:t>В.П. Сивоконь, Д.В. Лапшов, О.А. Белов</w:t>
            </w:r>
          </w:p>
          <w:p w:rsidR="00A01663" w:rsidRPr="00A01663" w:rsidRDefault="00A01663" w:rsidP="00A01663">
            <w:pPr>
              <w:pStyle w:val="Default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6D7453" w:rsidRPr="00A01663" w:rsidRDefault="006D7453" w:rsidP="00A01663">
            <w:pPr>
              <w:pStyle w:val="Defaul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1663">
              <w:rPr>
                <w:rFonts w:ascii="PT Astra Serif" w:hAnsi="PT Astra Serif"/>
                <w:b/>
                <w:bCs/>
                <w:sz w:val="22"/>
                <w:szCs w:val="22"/>
              </w:rPr>
              <w:t>ДИАГНОСТИЧЕСКИЕ ПРИЗНАКИ НЕСТАНДАРТНОГО ПРОЯВЛЕНИЯ</w:t>
            </w:r>
          </w:p>
          <w:p w:rsidR="006D7453" w:rsidRPr="00A01663" w:rsidRDefault="006D7453" w:rsidP="00A01663">
            <w:pPr>
              <w:pStyle w:val="Default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A01663">
              <w:rPr>
                <w:rFonts w:ascii="PT Astra Serif" w:hAnsi="PT Astra Serif"/>
                <w:b/>
                <w:bCs/>
                <w:sz w:val="22"/>
                <w:szCs w:val="22"/>
              </w:rPr>
              <w:t>НЕЛИНЕЙНОСТИ В ЭЛЕКТРИЧЕСКИХ СЕТЯХ</w:t>
            </w:r>
          </w:p>
          <w:p w:rsidR="00A01663" w:rsidRPr="00A01663" w:rsidRDefault="00A01663" w:rsidP="006D7453">
            <w:pPr>
              <w:pStyle w:val="Default"/>
              <w:ind w:firstLine="397"/>
              <w:rPr>
                <w:rFonts w:ascii="PT Astra Serif" w:hAnsi="PT Astra Serif"/>
                <w:sz w:val="22"/>
                <w:szCs w:val="22"/>
              </w:rPr>
            </w:pPr>
          </w:p>
          <w:p w:rsidR="006D7453" w:rsidRPr="00A01663" w:rsidRDefault="006D7453" w:rsidP="00A01663">
            <w:pPr>
              <w:pStyle w:val="Default"/>
              <w:ind w:firstLine="397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01663">
              <w:rPr>
                <w:rFonts w:ascii="PT Astra Serif" w:hAnsi="PT Astra Serif"/>
                <w:sz w:val="22"/>
                <w:szCs w:val="22"/>
              </w:rPr>
              <w:t>Использование импульсных блоков питания привело к тому, что большинство потребителей электросетей имеют нелинейные характеристики, что негативно сказывается на уровне высших гармоник и, соот</w:t>
            </w:r>
            <w:r w:rsidR="008A7B58">
              <w:rPr>
                <w:rFonts w:ascii="PT Astra Serif" w:hAnsi="PT Astra Serif"/>
                <w:sz w:val="22"/>
                <w:szCs w:val="22"/>
              </w:rPr>
              <w:t>в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етственно, качестве электроэнергии. Высокий уровень гармоник способствует проявлению геомагнитно-индуцированных токов, диагностику которых можно осуществлять п</w:t>
            </w:r>
            <w:r w:rsidRPr="00A01663">
              <w:rPr>
                <w:rFonts w:ascii="PT Astra Serif" w:hAnsi="PT Astra Serif"/>
                <w:sz w:val="22"/>
                <w:szCs w:val="22"/>
              </w:rPr>
              <w:t>у</w:t>
            </w:r>
            <w:r w:rsidRPr="00A01663">
              <w:rPr>
                <w:rFonts w:ascii="PT Astra Serif" w:hAnsi="PT Astra Serif"/>
                <w:sz w:val="22"/>
                <w:szCs w:val="22"/>
              </w:rPr>
              <w:t>тем оценки вариаций высших гармоник. Однако собственные гармоники сети могут маскировать процесс формирования их геомагнитно-индуцированными токами. Следовательно, актуальна з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а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дача поиска нестандартных диагностических признаков присутствия в сетях геомагнитно-индуцированных токов и неисправностей оборудования. Нелинейным процессам свойственно формирование не только высших гармоник, но и целый ряд других явлений, например амплиту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д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ной модуляции. В результате поиска новых подходов в диагностике параметров промышленного тока показана возможность амплитудной модуляции четных гармоник сети, установлены возм</w:t>
            </w:r>
            <w:r w:rsidRPr="00A01663">
              <w:rPr>
                <w:rFonts w:ascii="PT Astra Serif" w:hAnsi="PT Astra Serif"/>
                <w:sz w:val="22"/>
                <w:szCs w:val="22"/>
              </w:rPr>
              <w:t>у</w:t>
            </w:r>
            <w:r w:rsidRPr="00A01663">
              <w:rPr>
                <w:rFonts w:ascii="PT Astra Serif" w:hAnsi="PT Astra Serif"/>
                <w:sz w:val="22"/>
                <w:szCs w:val="22"/>
              </w:rPr>
              <w:t>щения акустического диапазона, возбуждаемые асинхронными двигателями. Обнаруженные ф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и</w:t>
            </w:r>
            <w:r w:rsidRPr="00A01663">
              <w:rPr>
                <w:rFonts w:ascii="PT Astra Serif" w:hAnsi="PT Astra Serif"/>
                <w:sz w:val="22"/>
                <w:szCs w:val="22"/>
              </w:rPr>
              <w:t xml:space="preserve">зические явления могут быть использованы в диагностике геомагнитно-индуцированных токов в электрических сетях и неисправностей асинхронных двигателей. </w:t>
            </w:r>
          </w:p>
          <w:p w:rsidR="00A01663" w:rsidRPr="00A01663" w:rsidRDefault="00A01663" w:rsidP="00A01663">
            <w:pPr>
              <w:pStyle w:val="Default"/>
              <w:ind w:firstLine="397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6D7453" w:rsidRPr="00A01663" w:rsidRDefault="006D7453" w:rsidP="00A01663">
            <w:pPr>
              <w:pStyle w:val="Default"/>
              <w:ind w:firstLine="397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01663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Ключевые слова: 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нелинейность в электрических сетях, интергармоники, амплитудная мод</w:t>
            </w:r>
            <w:r w:rsidRPr="00A01663">
              <w:rPr>
                <w:rFonts w:ascii="PT Astra Serif" w:hAnsi="PT Astra Serif"/>
                <w:sz w:val="22"/>
                <w:szCs w:val="22"/>
              </w:rPr>
              <w:t>у</w:t>
            </w:r>
            <w:r w:rsidRPr="00A01663">
              <w:rPr>
                <w:rFonts w:ascii="PT Astra Serif" w:hAnsi="PT Astra Serif"/>
                <w:sz w:val="22"/>
                <w:szCs w:val="22"/>
              </w:rPr>
              <w:t xml:space="preserve">ляция, геомагнитно-индуцированные токи. </w:t>
            </w:r>
          </w:p>
          <w:p w:rsidR="00A01663" w:rsidRPr="00A01663" w:rsidRDefault="00A01663" w:rsidP="006D7453">
            <w:pPr>
              <w:pStyle w:val="Default"/>
              <w:ind w:firstLine="397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6D7453" w:rsidRDefault="006D7453" w:rsidP="00A01663">
            <w:pPr>
              <w:ind w:firstLine="397"/>
              <w:jc w:val="right"/>
              <w:rPr>
                <w:rFonts w:ascii="PT Astra Serif" w:hAnsi="PT Astra Serif"/>
                <w:i/>
                <w:iCs/>
              </w:rPr>
            </w:pPr>
            <w:r w:rsidRPr="00A01663">
              <w:rPr>
                <w:rFonts w:ascii="PT Astra Serif" w:hAnsi="PT Astra Serif"/>
                <w:i/>
                <w:iCs/>
              </w:rPr>
              <w:lastRenderedPageBreak/>
              <w:t>DOI: 10.17217/2079-0333-2019-48-18-27</w:t>
            </w:r>
          </w:p>
          <w:p w:rsidR="00A01663" w:rsidRPr="00A01663" w:rsidRDefault="00A01663" w:rsidP="00A01663">
            <w:pPr>
              <w:ind w:firstLine="397"/>
              <w:jc w:val="right"/>
              <w:rPr>
                <w:rFonts w:ascii="PT Astra Serif" w:hAnsi="PT Astra Serif"/>
              </w:rPr>
            </w:pPr>
          </w:p>
        </w:tc>
      </w:tr>
      <w:tr w:rsidR="006D7453" w:rsidRPr="00A01663" w:rsidTr="006D7453">
        <w:trPr>
          <w:jc w:val="center"/>
        </w:trPr>
        <w:tc>
          <w:tcPr>
            <w:tcW w:w="9571" w:type="dxa"/>
          </w:tcPr>
          <w:p w:rsidR="006D7453" w:rsidRPr="00A01663" w:rsidRDefault="006D7453" w:rsidP="00A01663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A01663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УДК 637.5.035:664.92:634.7 </w:t>
            </w:r>
          </w:p>
          <w:p w:rsidR="00A01663" w:rsidRDefault="00A01663" w:rsidP="00A01663">
            <w:pPr>
              <w:pStyle w:val="Default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6D7453" w:rsidRPr="00A01663" w:rsidRDefault="006D7453" w:rsidP="00A01663">
            <w:pPr>
              <w:pStyle w:val="Defaul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1663">
              <w:rPr>
                <w:rFonts w:ascii="PT Astra Serif" w:hAnsi="PT Astra Serif"/>
                <w:b/>
                <w:bCs/>
                <w:sz w:val="22"/>
                <w:szCs w:val="22"/>
              </w:rPr>
              <w:t>О.А. Ковалева, Е.М. Здрабова, О.С. Киреева</w:t>
            </w:r>
          </w:p>
          <w:p w:rsidR="00A01663" w:rsidRDefault="00A01663" w:rsidP="00A01663">
            <w:pPr>
              <w:pStyle w:val="Default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6D7453" w:rsidRDefault="006D7453" w:rsidP="00A01663">
            <w:pPr>
              <w:pStyle w:val="Default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A01663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ПЕРСПЕКТИВЫ ИСПОЛЬЗОВАНИЯ КОНЦЕНТРИРОВАННЫХ ЯГОДНЫХ СОКОВ </w:t>
            </w:r>
            <w:r w:rsidR="00A01663">
              <w:rPr>
                <w:rFonts w:ascii="PT Astra Serif" w:hAnsi="PT Astra Serif"/>
                <w:b/>
                <w:bCs/>
                <w:sz w:val="22"/>
                <w:szCs w:val="22"/>
              </w:rPr>
              <w:br/>
            </w:r>
            <w:r w:rsidRPr="00A01663">
              <w:rPr>
                <w:rFonts w:ascii="PT Astra Serif" w:hAnsi="PT Astra Serif"/>
                <w:b/>
                <w:bCs/>
                <w:sz w:val="22"/>
                <w:szCs w:val="22"/>
              </w:rPr>
              <w:t>В ТЕХНОЛОГИИ МЯСНЫХ ПРОДУКТОВ</w:t>
            </w:r>
          </w:p>
          <w:p w:rsidR="00A01663" w:rsidRPr="00A01663" w:rsidRDefault="00A01663" w:rsidP="006D7453">
            <w:pPr>
              <w:pStyle w:val="Default"/>
              <w:ind w:firstLine="397"/>
              <w:rPr>
                <w:rFonts w:ascii="PT Astra Serif" w:hAnsi="PT Astra Serif"/>
                <w:sz w:val="22"/>
                <w:szCs w:val="22"/>
              </w:rPr>
            </w:pPr>
          </w:p>
          <w:p w:rsidR="006D7453" w:rsidRPr="00A01663" w:rsidRDefault="006D7453" w:rsidP="00A01663">
            <w:pPr>
              <w:pStyle w:val="Default"/>
              <w:ind w:firstLine="397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01663">
              <w:rPr>
                <w:rFonts w:ascii="PT Astra Serif" w:hAnsi="PT Astra Serif"/>
                <w:sz w:val="22"/>
                <w:szCs w:val="22"/>
              </w:rPr>
              <w:t>Продукция мясной промышленности является основным источником полноценного животн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о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го белка в рационе питания населения. Особенности биохимического состава и свойств отечес</w:t>
            </w:r>
            <w:r w:rsidRPr="00A01663">
              <w:rPr>
                <w:rFonts w:ascii="PT Astra Serif" w:hAnsi="PT Astra Serif"/>
                <w:sz w:val="22"/>
                <w:szCs w:val="22"/>
              </w:rPr>
              <w:t>т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венного мясного сырья обосновывают необходимость поиска новых технологий переработки мяса с целью получения готовых продуктов с высокими потребительскими характеристиками. Весьма перспективно использование в технологии создания конкурентоспособных мясных продуктов ягодного сырья и продуктов его переработки – концентрированных соков. Высокое содержание органических кислот в концентрированных ягодных соках позволяет использовать соки в качестве бактериостатических компонентов при производстве мясных продуктов: в качестве ингредиента посолочной смеси или компонента защитного покрытия для готовых мясопродуктов. Проведе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н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ные исследования показали улучшение качественных показателей и органолептических характ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е</w:t>
            </w:r>
            <w:r w:rsidRPr="00A01663">
              <w:rPr>
                <w:rFonts w:ascii="PT Astra Serif" w:hAnsi="PT Astra Serif"/>
                <w:sz w:val="22"/>
                <w:szCs w:val="22"/>
              </w:rPr>
              <w:t>ристик новых мясных продуктов, выработанных с применением концентрированного ягодного сока. Установлено, что концентрированные соки в мясной системе проявляют бактериостатич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е</w:t>
            </w:r>
            <w:r w:rsidRPr="00A01663">
              <w:rPr>
                <w:rFonts w:ascii="PT Astra Serif" w:hAnsi="PT Astra Serif"/>
                <w:sz w:val="22"/>
                <w:szCs w:val="22"/>
              </w:rPr>
              <w:t xml:space="preserve">ские свойства, а также антиоксидантную активность, что пролонгирует сроки годности продукта. </w:t>
            </w:r>
          </w:p>
          <w:p w:rsidR="00A01663" w:rsidRDefault="00A01663" w:rsidP="00A01663">
            <w:pPr>
              <w:pStyle w:val="Default"/>
              <w:ind w:firstLine="397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6D7453" w:rsidRPr="00A01663" w:rsidRDefault="006D7453" w:rsidP="00A01663">
            <w:pPr>
              <w:pStyle w:val="Default"/>
              <w:ind w:firstLine="397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01663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Ключевые слова: 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мясные продукты, концентрированный сок черники, концентрированный сок красной смородины, посолочная смесь, органолептический анализ, бактериостатические сво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й</w:t>
            </w:r>
            <w:r w:rsidRPr="00A01663">
              <w:rPr>
                <w:rFonts w:ascii="PT Astra Serif" w:hAnsi="PT Astra Serif"/>
                <w:sz w:val="22"/>
                <w:szCs w:val="22"/>
              </w:rPr>
              <w:t xml:space="preserve">ства, защитные покрытия. </w:t>
            </w:r>
          </w:p>
          <w:p w:rsidR="00A01663" w:rsidRDefault="00A01663" w:rsidP="006D7453">
            <w:pPr>
              <w:pStyle w:val="Default"/>
              <w:ind w:firstLine="397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6D7453" w:rsidRDefault="006D7453" w:rsidP="00A01663">
            <w:pPr>
              <w:ind w:firstLine="397"/>
              <w:jc w:val="right"/>
              <w:rPr>
                <w:rFonts w:ascii="PT Astra Serif" w:hAnsi="PT Astra Serif"/>
                <w:i/>
                <w:iCs/>
              </w:rPr>
            </w:pPr>
            <w:r w:rsidRPr="00A01663">
              <w:rPr>
                <w:rFonts w:ascii="PT Astra Serif" w:hAnsi="PT Astra Serif"/>
                <w:i/>
                <w:iCs/>
              </w:rPr>
              <w:t>DOI: 10.17217/2079-0333-2019-48-28-35</w:t>
            </w:r>
          </w:p>
          <w:p w:rsidR="00A01663" w:rsidRPr="00A01663" w:rsidRDefault="00A01663" w:rsidP="00A01663">
            <w:pPr>
              <w:ind w:firstLine="397"/>
              <w:jc w:val="right"/>
              <w:rPr>
                <w:rFonts w:ascii="PT Astra Serif" w:hAnsi="PT Astra Serif"/>
              </w:rPr>
            </w:pPr>
          </w:p>
        </w:tc>
      </w:tr>
      <w:tr w:rsidR="006D7453" w:rsidRPr="00A01663" w:rsidTr="006D7453">
        <w:trPr>
          <w:jc w:val="center"/>
        </w:trPr>
        <w:tc>
          <w:tcPr>
            <w:tcW w:w="9571" w:type="dxa"/>
          </w:tcPr>
          <w:p w:rsidR="006D7453" w:rsidRPr="00A01663" w:rsidRDefault="006D7453" w:rsidP="00A01663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A01663">
              <w:rPr>
                <w:rFonts w:ascii="PT Astra Serif" w:hAnsi="PT Astra Serif"/>
                <w:sz w:val="22"/>
                <w:szCs w:val="22"/>
              </w:rPr>
              <w:t xml:space="preserve">УДК 563.961:664.691/.694 </w:t>
            </w:r>
          </w:p>
          <w:p w:rsidR="00A01663" w:rsidRDefault="00A01663" w:rsidP="00A01663">
            <w:pPr>
              <w:pStyle w:val="Default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6D7453" w:rsidRDefault="006D7453" w:rsidP="00A01663">
            <w:pPr>
              <w:pStyle w:val="Default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A01663">
              <w:rPr>
                <w:rFonts w:ascii="PT Astra Serif" w:hAnsi="PT Astra Serif"/>
                <w:b/>
                <w:bCs/>
                <w:sz w:val="22"/>
                <w:szCs w:val="22"/>
              </w:rPr>
              <w:t>И.В. Крылова, М.В. Ефимова, А.А. Ефимов</w:t>
            </w:r>
          </w:p>
          <w:p w:rsidR="00A01663" w:rsidRPr="00A01663" w:rsidRDefault="00A01663" w:rsidP="00A01663">
            <w:pPr>
              <w:pStyle w:val="Default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6D7453" w:rsidRDefault="006D7453" w:rsidP="00A01663">
            <w:pPr>
              <w:pStyle w:val="Default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A01663">
              <w:rPr>
                <w:rFonts w:ascii="PT Astra Serif" w:hAnsi="PT Astra Serif"/>
                <w:b/>
                <w:bCs/>
                <w:sz w:val="22"/>
                <w:szCs w:val="22"/>
              </w:rPr>
              <w:t>ПРИМЕНЕНИЕ КУКУМАРИИ В КАЧЕСТВЕ ДОБАВКИ В МАКАРОННЫЕ ИЗДЕЛИЯ</w:t>
            </w:r>
          </w:p>
          <w:p w:rsidR="00A01663" w:rsidRPr="00A01663" w:rsidRDefault="00A01663" w:rsidP="00A01663">
            <w:pPr>
              <w:pStyle w:val="Default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6D7453" w:rsidRPr="00A01663" w:rsidRDefault="006D7453" w:rsidP="00A01663">
            <w:pPr>
              <w:pStyle w:val="Default"/>
              <w:ind w:firstLine="397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01663">
              <w:rPr>
                <w:rFonts w:ascii="PT Astra Serif" w:hAnsi="PT Astra Serif"/>
                <w:sz w:val="22"/>
                <w:szCs w:val="22"/>
              </w:rPr>
              <w:t>Традиционные макаронные изделия, изготовленные, как правило, из пшеничной муки и воды, имеют невысокую пищевую ценность, в связи с чем в последние годы их обогащают разными нутриентами. В статье обоснована возможность включения в рецептуру макаронных изделий в качестве обогащающей добавки высушенной и измельченной до порошкообразного состояния к</w:t>
            </w:r>
            <w:r w:rsidRPr="00A01663">
              <w:rPr>
                <w:rFonts w:ascii="PT Astra Serif" w:hAnsi="PT Astra Serif"/>
                <w:sz w:val="22"/>
                <w:szCs w:val="22"/>
              </w:rPr>
              <w:t>у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кумарии охотской (</w:t>
            </w:r>
            <w:r w:rsidRPr="00A01663">
              <w:rPr>
                <w:rFonts w:ascii="PT Astra Serif" w:hAnsi="PT Astra Serif"/>
                <w:i/>
                <w:iCs/>
                <w:sz w:val="22"/>
                <w:szCs w:val="22"/>
              </w:rPr>
              <w:t>Cucumaria okhotensis</w:t>
            </w:r>
            <w:r w:rsidRPr="00A01663">
              <w:rPr>
                <w:rFonts w:ascii="PT Astra Serif" w:hAnsi="PT Astra Serif"/>
                <w:sz w:val="22"/>
                <w:szCs w:val="22"/>
              </w:rPr>
              <w:t>). Она, судя по литературным данным, характеризуется высокой пищевой ценностью, содержит спектр незаменимых биологически активных функци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о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нальных компонентов. Разработан способ получения из кукумарии мелкодисперсного порошка, содержание воды в котором не превышает 3%. Определено рациональное количество добавляемой в макаронное тесто сушеной измельченной кукумарии – 5 г на 100 г муки. При данном соотнош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е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нии компонентов цвет, форма, вкус, запах, целостность макаронных изделий после варки были оценены по максимальному баллу, вкус и запах добавки кукумарии оценен как умеренный. Пр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о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веденные исследования расширяют возможности обогащения макаронных изделий за счет вкл</w:t>
            </w:r>
            <w:r w:rsidRPr="00A01663">
              <w:rPr>
                <w:rFonts w:ascii="PT Astra Serif" w:hAnsi="PT Astra Serif"/>
                <w:sz w:val="22"/>
                <w:szCs w:val="22"/>
              </w:rPr>
              <w:t>ю</w:t>
            </w:r>
            <w:r w:rsidRPr="00A01663">
              <w:rPr>
                <w:rFonts w:ascii="PT Astra Serif" w:hAnsi="PT Astra Serif"/>
                <w:sz w:val="22"/>
                <w:szCs w:val="22"/>
              </w:rPr>
              <w:t xml:space="preserve">чения в их состав весьма ценной с биологической точки зрения добавки из кукумарии. </w:t>
            </w:r>
          </w:p>
          <w:p w:rsidR="00A01663" w:rsidRDefault="00A01663" w:rsidP="00A01663">
            <w:pPr>
              <w:pStyle w:val="Default"/>
              <w:ind w:firstLine="397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6D7453" w:rsidRPr="00A01663" w:rsidRDefault="006D7453" w:rsidP="00A01663">
            <w:pPr>
              <w:pStyle w:val="Default"/>
              <w:ind w:firstLine="397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01663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Ключевые слова: </w:t>
            </w:r>
            <w:r w:rsidRPr="00A01663">
              <w:rPr>
                <w:rFonts w:ascii="PT Astra Serif" w:hAnsi="PT Astra Serif"/>
                <w:sz w:val="22"/>
                <w:szCs w:val="22"/>
              </w:rPr>
              <w:t xml:space="preserve">макаронные изделия, кукумария, сушка, измельчение, органолептические показатели, качество. </w:t>
            </w:r>
          </w:p>
          <w:p w:rsidR="00A01663" w:rsidRDefault="00A01663" w:rsidP="006D7453">
            <w:pPr>
              <w:ind w:firstLine="397"/>
              <w:rPr>
                <w:rFonts w:ascii="PT Astra Serif" w:hAnsi="PT Astra Serif"/>
                <w:i/>
                <w:iCs/>
              </w:rPr>
            </w:pPr>
          </w:p>
          <w:p w:rsidR="006D7453" w:rsidRDefault="006D7453" w:rsidP="00A01663">
            <w:pPr>
              <w:ind w:firstLine="397"/>
              <w:jc w:val="right"/>
              <w:rPr>
                <w:rFonts w:ascii="PT Astra Serif" w:hAnsi="PT Astra Serif"/>
                <w:i/>
                <w:iCs/>
              </w:rPr>
            </w:pPr>
            <w:r w:rsidRPr="00A01663">
              <w:rPr>
                <w:rFonts w:ascii="PT Astra Serif" w:hAnsi="PT Astra Serif"/>
                <w:i/>
                <w:iCs/>
              </w:rPr>
              <w:t>DOI: 10.17217/2079-0333-2019-48-36-42</w:t>
            </w:r>
          </w:p>
          <w:p w:rsidR="00A01663" w:rsidRPr="00A01663" w:rsidRDefault="00A01663" w:rsidP="00A01663">
            <w:pPr>
              <w:ind w:firstLine="397"/>
              <w:jc w:val="right"/>
              <w:rPr>
                <w:rFonts w:ascii="PT Astra Serif" w:hAnsi="PT Astra Serif"/>
              </w:rPr>
            </w:pPr>
          </w:p>
        </w:tc>
      </w:tr>
      <w:tr w:rsidR="006D7453" w:rsidRPr="00A01663" w:rsidTr="006D7453">
        <w:trPr>
          <w:jc w:val="center"/>
        </w:trPr>
        <w:tc>
          <w:tcPr>
            <w:tcW w:w="9571" w:type="dxa"/>
          </w:tcPr>
          <w:p w:rsidR="006D7453" w:rsidRPr="00A01663" w:rsidRDefault="006D7453" w:rsidP="00A01663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A01663">
              <w:rPr>
                <w:rFonts w:ascii="PT Astra Serif" w:hAnsi="PT Astra Serif"/>
                <w:sz w:val="22"/>
                <w:szCs w:val="22"/>
              </w:rPr>
              <w:t xml:space="preserve">УДК 639.2/.3:664.95 </w:t>
            </w:r>
          </w:p>
          <w:p w:rsidR="00A01663" w:rsidRDefault="00A01663" w:rsidP="00A01663">
            <w:pPr>
              <w:pStyle w:val="Default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6D7453" w:rsidRPr="00A01663" w:rsidRDefault="006D7453" w:rsidP="00A01663">
            <w:pPr>
              <w:pStyle w:val="Defaul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1663">
              <w:rPr>
                <w:rFonts w:ascii="PT Astra Serif" w:hAnsi="PT Astra Serif"/>
                <w:b/>
                <w:bCs/>
                <w:sz w:val="22"/>
                <w:szCs w:val="22"/>
              </w:rPr>
              <w:t>А.И. Уколов, В.П. Родионов, П.П. Старовойтов</w:t>
            </w:r>
          </w:p>
          <w:p w:rsidR="00A01663" w:rsidRDefault="00A01663" w:rsidP="00A01663">
            <w:pPr>
              <w:pStyle w:val="Default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6D7453" w:rsidRDefault="006D7453" w:rsidP="00A01663">
            <w:pPr>
              <w:pStyle w:val="Default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A01663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ГИДРОКАВИТАЦИОННОЕ СТРУЙНОЕ УДАЛЕНИЕ ВНУТРЕННОСТЕЙ </w:t>
            </w:r>
            <w:r w:rsidR="00A01663">
              <w:rPr>
                <w:rFonts w:ascii="PT Astra Serif" w:hAnsi="PT Astra Serif"/>
                <w:b/>
                <w:bCs/>
                <w:sz w:val="22"/>
                <w:szCs w:val="22"/>
              </w:rPr>
              <w:br/>
            </w:r>
            <w:r w:rsidRPr="00A01663">
              <w:rPr>
                <w:rFonts w:ascii="PT Astra Serif" w:hAnsi="PT Astra Serif"/>
                <w:b/>
                <w:bCs/>
                <w:sz w:val="22"/>
                <w:szCs w:val="22"/>
              </w:rPr>
              <w:t>У ОБЕЗГЛАВЛЕННЫХ РЫБ</w:t>
            </w:r>
          </w:p>
          <w:p w:rsidR="00A01663" w:rsidRPr="00A01663" w:rsidRDefault="00A01663" w:rsidP="00A01663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</w:p>
          <w:p w:rsidR="006D7453" w:rsidRPr="00A01663" w:rsidRDefault="006D7453" w:rsidP="00A01663">
            <w:pPr>
              <w:pStyle w:val="Default"/>
              <w:ind w:firstLine="397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01663">
              <w:rPr>
                <w:rFonts w:ascii="PT Astra Serif" w:hAnsi="PT Astra Serif"/>
                <w:sz w:val="22"/>
                <w:szCs w:val="22"/>
              </w:rPr>
              <w:t>Работа продолжает цикл статей авторов, посвященных изучению возможности использования гидродинамической суперкавитации для удаления внутренностей у обезглавленных рыб с целью внедрения данного метода в производственную деятельность предприятий рыбной промышленн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о</w:t>
            </w:r>
            <w:r w:rsidRPr="00A01663">
              <w:rPr>
                <w:rFonts w:ascii="PT Astra Serif" w:hAnsi="PT Astra Serif"/>
                <w:sz w:val="22"/>
                <w:szCs w:val="22"/>
              </w:rPr>
              <w:t>сти. Выполненные эксперименты позволили определить оптимальный диапазон давления насо</w:t>
            </w:r>
            <w:r w:rsidRPr="00A01663">
              <w:rPr>
                <w:rFonts w:ascii="PT Astra Serif" w:hAnsi="PT Astra Serif"/>
                <w:sz w:val="22"/>
                <w:szCs w:val="22"/>
              </w:rPr>
              <w:t>с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ной установки, необходимый для обеспечения данного процесса. Установлено, что при использ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о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вании разработанных авторами кавитаторов очистка рыбы от внутренностей без разрушения ее тела происходит при давлении от 0,5 МПа до 1,5 МПа. Компьютерное моделирование этого пр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о</w:t>
            </w:r>
            <w:r w:rsidRPr="00A01663">
              <w:rPr>
                <w:rFonts w:ascii="PT Astra Serif" w:hAnsi="PT Astra Serif"/>
                <w:sz w:val="22"/>
                <w:szCs w:val="22"/>
              </w:rPr>
              <w:t>цесса подтвердило наличие концентрированной паровой фазы во внутреннем объеме брюшной полости рыбы. Однако за счет фазового перехода у поверхности тела рыбы наблюдается умен</w:t>
            </w:r>
            <w:r w:rsidRPr="00A01663">
              <w:rPr>
                <w:rFonts w:ascii="PT Astra Serif" w:hAnsi="PT Astra Serif"/>
                <w:sz w:val="22"/>
                <w:szCs w:val="22"/>
              </w:rPr>
              <w:t>ь</w:t>
            </w:r>
            <w:r w:rsidRPr="00A01663">
              <w:rPr>
                <w:rFonts w:ascii="PT Astra Serif" w:hAnsi="PT Astra Serif"/>
                <w:sz w:val="22"/>
                <w:szCs w:val="22"/>
              </w:rPr>
              <w:t xml:space="preserve">шение давления и скорости потока, что способствует сохранению целостности продукта. </w:t>
            </w:r>
          </w:p>
          <w:p w:rsidR="00A01663" w:rsidRDefault="00A01663" w:rsidP="00A01663">
            <w:pPr>
              <w:pStyle w:val="Default"/>
              <w:ind w:firstLine="397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6D7453" w:rsidRPr="00A01663" w:rsidRDefault="006D7453" w:rsidP="00A01663">
            <w:pPr>
              <w:pStyle w:val="Default"/>
              <w:ind w:firstLine="397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01663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Ключевые слова: </w:t>
            </w:r>
            <w:r w:rsidRPr="00A01663">
              <w:rPr>
                <w:rFonts w:ascii="PT Astra Serif" w:hAnsi="PT Astra Serif"/>
                <w:sz w:val="22"/>
                <w:szCs w:val="22"/>
              </w:rPr>
              <w:t xml:space="preserve">давление, кавитация, моделирование, очистка, переработка рыбы, удаление внутренностей. </w:t>
            </w:r>
          </w:p>
          <w:p w:rsidR="00A01663" w:rsidRDefault="00A01663" w:rsidP="006D7453">
            <w:pPr>
              <w:pStyle w:val="Default"/>
              <w:ind w:firstLine="397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6D7453" w:rsidRDefault="006D7453" w:rsidP="00A01663">
            <w:pPr>
              <w:ind w:firstLine="397"/>
              <w:jc w:val="right"/>
              <w:rPr>
                <w:rFonts w:ascii="PT Astra Serif" w:hAnsi="PT Astra Serif"/>
                <w:i/>
                <w:iCs/>
              </w:rPr>
            </w:pPr>
            <w:r w:rsidRPr="00A01663">
              <w:rPr>
                <w:rFonts w:ascii="PT Astra Serif" w:hAnsi="PT Astra Serif"/>
                <w:i/>
                <w:iCs/>
              </w:rPr>
              <w:t>DOI: 10.17217/2079-0333-2019-48-43-48</w:t>
            </w:r>
          </w:p>
          <w:p w:rsidR="00A01663" w:rsidRPr="00A01663" w:rsidRDefault="00A01663" w:rsidP="00A01663">
            <w:pPr>
              <w:ind w:firstLine="397"/>
              <w:jc w:val="right"/>
              <w:rPr>
                <w:rFonts w:ascii="PT Astra Serif" w:hAnsi="PT Astra Serif"/>
              </w:rPr>
            </w:pPr>
          </w:p>
        </w:tc>
      </w:tr>
      <w:tr w:rsidR="006D7453" w:rsidRPr="00A01663" w:rsidTr="006D7453">
        <w:trPr>
          <w:jc w:val="center"/>
        </w:trPr>
        <w:tc>
          <w:tcPr>
            <w:tcW w:w="9571" w:type="dxa"/>
          </w:tcPr>
          <w:p w:rsidR="006D7453" w:rsidRPr="00A01663" w:rsidRDefault="006D7453" w:rsidP="00A01663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A01663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УДК 639.2.03:639.211(265.53) </w:t>
            </w:r>
          </w:p>
          <w:p w:rsidR="00A01663" w:rsidRDefault="00A01663" w:rsidP="00A01663">
            <w:pPr>
              <w:pStyle w:val="Default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6D7453" w:rsidRDefault="006D7453" w:rsidP="00A01663">
            <w:pPr>
              <w:pStyle w:val="Default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A01663">
              <w:rPr>
                <w:rFonts w:ascii="PT Astra Serif" w:hAnsi="PT Astra Serif"/>
                <w:b/>
                <w:bCs/>
                <w:sz w:val="22"/>
                <w:szCs w:val="22"/>
              </w:rPr>
              <w:t>В.В. Волобуев, М.Н. Горохов, И.С. Голованов, Л.Л. Хованская, А.В. Ямборко</w:t>
            </w:r>
          </w:p>
          <w:p w:rsidR="00A01663" w:rsidRPr="00A01663" w:rsidRDefault="00A01663" w:rsidP="00A01663">
            <w:pPr>
              <w:pStyle w:val="Default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6D7453" w:rsidRDefault="006D7453" w:rsidP="00A01663">
            <w:pPr>
              <w:pStyle w:val="Default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A01663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НЕРКА </w:t>
            </w:r>
            <w:r w:rsidRPr="00A01663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 xml:space="preserve">ONCORHYNCHUS NERKA </w:t>
            </w:r>
            <w:r w:rsidRPr="00A01663">
              <w:rPr>
                <w:rFonts w:ascii="PT Astra Serif" w:hAnsi="PT Astra Serif"/>
                <w:b/>
                <w:bCs/>
                <w:sz w:val="22"/>
                <w:szCs w:val="22"/>
              </w:rPr>
              <w:t>(WALBAUM) СЕВЕРО-ВОСТОЧНОЙ ЧАСТИ МАТ</w:t>
            </w:r>
            <w:r w:rsidRPr="00A01663">
              <w:rPr>
                <w:rFonts w:ascii="PT Astra Serif" w:hAnsi="PT Astra Serif"/>
                <w:b/>
                <w:bCs/>
                <w:sz w:val="22"/>
                <w:szCs w:val="22"/>
              </w:rPr>
              <w:t>Е</w:t>
            </w:r>
            <w:r w:rsidRPr="00A01663">
              <w:rPr>
                <w:rFonts w:ascii="PT Astra Serif" w:hAnsi="PT Astra Serif"/>
                <w:b/>
                <w:bCs/>
                <w:sz w:val="22"/>
                <w:szCs w:val="22"/>
              </w:rPr>
              <w:t>РИКОВОГО ПОБЕРЕЖЬЯ ОХОТСКОГО МОРЯ</w:t>
            </w:r>
          </w:p>
          <w:p w:rsidR="00A01663" w:rsidRPr="00A01663" w:rsidRDefault="00A01663" w:rsidP="00A01663">
            <w:pPr>
              <w:pStyle w:val="Default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6D7453" w:rsidRPr="00A01663" w:rsidRDefault="006D7453" w:rsidP="00A01663">
            <w:pPr>
              <w:pStyle w:val="Default"/>
              <w:ind w:firstLine="397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01663">
              <w:rPr>
                <w:rFonts w:ascii="PT Astra Serif" w:hAnsi="PT Astra Serif"/>
                <w:sz w:val="22"/>
                <w:szCs w:val="22"/>
              </w:rPr>
              <w:t>В статье обобщены ранее опубликованные и приведены новые сведения о самом малочисле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н</w:t>
            </w:r>
            <w:r w:rsidRPr="00A01663">
              <w:rPr>
                <w:rFonts w:ascii="PT Astra Serif" w:hAnsi="PT Astra Serif"/>
                <w:sz w:val="22"/>
                <w:szCs w:val="22"/>
              </w:rPr>
              <w:t xml:space="preserve">ном из тихоокеанских лососей виде </w:t>
            </w:r>
            <w:r w:rsidRPr="00A01663">
              <w:rPr>
                <w:rFonts w:ascii="PT Astra Serif" w:hAnsi="PT Astra Serif"/>
                <w:i/>
                <w:iCs/>
                <w:sz w:val="22"/>
                <w:szCs w:val="22"/>
              </w:rPr>
              <w:t>Oncorhynchus nerka</w:t>
            </w:r>
            <w:r w:rsidRPr="00A01663">
              <w:rPr>
                <w:rFonts w:ascii="PT Astra Serif" w:hAnsi="PT Astra Serif"/>
                <w:sz w:val="22"/>
                <w:szCs w:val="22"/>
              </w:rPr>
              <w:t>, обитающем в водоемах северной части материкового побережья Охотского моря. Представлены данные о ее биологических показателях, структуре популяций, естественном воспроизводстве и хозяйственном использовании. Показано, что в Магаданской области нерка характеризуется относительно небольшими размерами и массой тела – 58–60 см и 2,5–2,8 кг. По условиям воспроизводства она делится на лимнофильный и ре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о</w:t>
            </w:r>
            <w:r w:rsidRPr="00A01663">
              <w:rPr>
                <w:rFonts w:ascii="PT Astra Serif" w:hAnsi="PT Astra Serif"/>
                <w:sz w:val="22"/>
                <w:szCs w:val="22"/>
              </w:rPr>
              <w:t>фильный экотипы, размножающиеся в озерах и руслах рек. Преобладающим экотипом является лимнофильный. Установлено, что в изученных популяциях наравне с проходной формой вида присутствуют неотенические жилые особи нерки, весь жизненный цикл которых проходит в н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а</w:t>
            </w:r>
            <w:r w:rsidRPr="00A01663">
              <w:rPr>
                <w:rFonts w:ascii="PT Astra Serif" w:hAnsi="PT Astra Serif"/>
                <w:sz w:val="22"/>
                <w:szCs w:val="22"/>
              </w:rPr>
              <w:t xml:space="preserve">тивных озерах. Среди жилой нерки 86–94% составляют самцы. Особенностью репродуктивной экологии лимнофильной нерки является то, что в период размножения карликовые жилые особи совместно с проходными образуют единый нерестовый пул. </w:t>
            </w:r>
          </w:p>
          <w:p w:rsidR="00A01663" w:rsidRDefault="00A01663" w:rsidP="00A01663">
            <w:pPr>
              <w:pStyle w:val="Default"/>
              <w:ind w:firstLine="397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6D7453" w:rsidRPr="00A01663" w:rsidRDefault="006D7453" w:rsidP="00A01663">
            <w:pPr>
              <w:pStyle w:val="Default"/>
              <w:ind w:firstLine="397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01663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Ключевые слова: 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возраст, воспроизводство, нерка, промысел, размерно-весовая характер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и</w:t>
            </w:r>
            <w:r w:rsidRPr="00A01663">
              <w:rPr>
                <w:rFonts w:ascii="PT Astra Serif" w:hAnsi="PT Astra Serif"/>
                <w:sz w:val="22"/>
                <w:szCs w:val="22"/>
              </w:rPr>
              <w:t xml:space="preserve">стика, северо-запад Охотского моря. </w:t>
            </w:r>
          </w:p>
          <w:p w:rsidR="00A01663" w:rsidRDefault="00A01663" w:rsidP="006D7453">
            <w:pPr>
              <w:ind w:firstLine="397"/>
              <w:rPr>
                <w:rFonts w:ascii="PT Astra Serif" w:hAnsi="PT Astra Serif"/>
                <w:i/>
                <w:iCs/>
              </w:rPr>
            </w:pPr>
          </w:p>
          <w:p w:rsidR="006D7453" w:rsidRDefault="006D7453" w:rsidP="00A01663">
            <w:pPr>
              <w:ind w:firstLine="397"/>
              <w:jc w:val="right"/>
              <w:rPr>
                <w:rFonts w:ascii="PT Astra Serif" w:hAnsi="PT Astra Serif"/>
                <w:i/>
                <w:iCs/>
              </w:rPr>
            </w:pPr>
            <w:r w:rsidRPr="00A01663">
              <w:rPr>
                <w:rFonts w:ascii="PT Astra Serif" w:hAnsi="PT Astra Serif"/>
                <w:i/>
                <w:iCs/>
              </w:rPr>
              <w:t>DOI: 10.17217/2079-0333-2019-48-49-58</w:t>
            </w:r>
          </w:p>
          <w:p w:rsidR="00A01663" w:rsidRPr="00A01663" w:rsidRDefault="00A01663" w:rsidP="00A01663">
            <w:pPr>
              <w:ind w:firstLine="397"/>
              <w:jc w:val="right"/>
              <w:rPr>
                <w:rFonts w:ascii="PT Astra Serif" w:hAnsi="PT Astra Serif"/>
              </w:rPr>
            </w:pPr>
          </w:p>
        </w:tc>
      </w:tr>
      <w:tr w:rsidR="006D7453" w:rsidRPr="00A01663" w:rsidTr="006D7453">
        <w:trPr>
          <w:jc w:val="center"/>
        </w:trPr>
        <w:tc>
          <w:tcPr>
            <w:tcW w:w="9571" w:type="dxa"/>
          </w:tcPr>
          <w:p w:rsidR="006D7453" w:rsidRDefault="006D7453" w:rsidP="00A01663">
            <w:pPr>
              <w:pStyle w:val="Defaul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01663">
              <w:rPr>
                <w:rFonts w:ascii="PT Astra Serif" w:hAnsi="PT Astra Serif"/>
                <w:sz w:val="22"/>
                <w:szCs w:val="22"/>
              </w:rPr>
              <w:t>УДК 574.2:639.222.2</w:t>
            </w:r>
          </w:p>
          <w:p w:rsidR="00A01663" w:rsidRPr="00A01663" w:rsidRDefault="00A01663" w:rsidP="00A01663">
            <w:pPr>
              <w:pStyle w:val="Default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6D7453" w:rsidRDefault="006D7453" w:rsidP="00A01663">
            <w:pPr>
              <w:pStyle w:val="Default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A01663">
              <w:rPr>
                <w:rFonts w:ascii="PT Astra Serif" w:hAnsi="PT Astra Serif"/>
                <w:b/>
                <w:bCs/>
                <w:sz w:val="22"/>
                <w:szCs w:val="22"/>
              </w:rPr>
              <w:t>В.В. Горбачев, А.А. Смирнов</w:t>
            </w:r>
          </w:p>
          <w:p w:rsidR="00A01663" w:rsidRPr="00A01663" w:rsidRDefault="00A01663" w:rsidP="00A01663">
            <w:pPr>
              <w:pStyle w:val="Default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6D7453" w:rsidRPr="00A01663" w:rsidRDefault="006D7453" w:rsidP="00A01663">
            <w:pPr>
              <w:pStyle w:val="Defaul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1663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ВЛИЯНИЕ ЭКОЛОГО-БИОЛОГИЧЕСКИХ И ГЕНЕТИЧЕСКИХ ФАКТОРОВ </w:t>
            </w:r>
            <w:r w:rsidR="00A01663">
              <w:rPr>
                <w:rFonts w:ascii="PT Astra Serif" w:hAnsi="PT Astra Serif"/>
                <w:b/>
                <w:bCs/>
                <w:sz w:val="22"/>
                <w:szCs w:val="22"/>
              </w:rPr>
              <w:br/>
            </w:r>
            <w:r w:rsidRPr="00A01663">
              <w:rPr>
                <w:rFonts w:ascii="PT Astra Serif" w:hAnsi="PT Astra Serif"/>
                <w:b/>
                <w:bCs/>
                <w:sz w:val="22"/>
                <w:szCs w:val="22"/>
              </w:rPr>
              <w:t>НА ВНУТРИВИДОВУЮ СТРУКТУРУ ТИХООКЕАНСКОЙ СЕЛЬДИ</w:t>
            </w:r>
          </w:p>
          <w:p w:rsidR="006D7453" w:rsidRDefault="006D7453" w:rsidP="00A01663">
            <w:pPr>
              <w:pStyle w:val="Default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A01663">
              <w:rPr>
                <w:rFonts w:ascii="PT Astra Serif" w:hAnsi="PT Astra Serif"/>
                <w:b/>
                <w:bCs/>
                <w:sz w:val="22"/>
                <w:szCs w:val="22"/>
              </w:rPr>
              <w:t>(</w:t>
            </w:r>
            <w:r w:rsidRPr="00A01663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CLUPEA PALLASII</w:t>
            </w:r>
            <w:r w:rsidRPr="00A01663">
              <w:rPr>
                <w:rFonts w:ascii="PT Astra Serif" w:hAnsi="PT Astra Serif"/>
                <w:b/>
                <w:bCs/>
                <w:sz w:val="22"/>
                <w:szCs w:val="22"/>
              </w:rPr>
              <w:t>)</w:t>
            </w:r>
          </w:p>
          <w:p w:rsidR="00A01663" w:rsidRPr="00A01663" w:rsidRDefault="00A01663" w:rsidP="00A01663">
            <w:pPr>
              <w:pStyle w:val="Default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6D7453" w:rsidRPr="00A01663" w:rsidRDefault="006D7453" w:rsidP="00A01663">
            <w:pPr>
              <w:pStyle w:val="Default"/>
              <w:ind w:firstLine="397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01663">
              <w:rPr>
                <w:rFonts w:ascii="PT Astra Serif" w:hAnsi="PT Astra Serif"/>
                <w:sz w:val="22"/>
                <w:szCs w:val="22"/>
              </w:rPr>
              <w:t>Обобщены и проанализированы литературные данные и материалы авторов по влиянию о</w:t>
            </w:r>
            <w:r w:rsidRPr="00A01663">
              <w:rPr>
                <w:rFonts w:ascii="PT Astra Serif" w:hAnsi="PT Astra Serif"/>
                <w:sz w:val="22"/>
                <w:szCs w:val="22"/>
              </w:rPr>
              <w:t>с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новных факторов среды на внутривидовую структуру тихоокеанской сельди по всему ареалу ее обитания. В общей сложности анализу подвергнуты данные изучения сельди в 26 районах поб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е</w:t>
            </w:r>
            <w:r w:rsidRPr="00A01663">
              <w:rPr>
                <w:rFonts w:ascii="PT Astra Serif" w:hAnsi="PT Astra Serif"/>
                <w:sz w:val="22"/>
                <w:szCs w:val="22"/>
              </w:rPr>
              <w:t>режья Евразии и Северной Америки. На основании объединенных эколого-биологических и ген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е</w:t>
            </w:r>
            <w:r w:rsidRPr="00A01663">
              <w:rPr>
                <w:rFonts w:ascii="PT Astra Serif" w:hAnsi="PT Astra Serif"/>
                <w:sz w:val="22"/>
                <w:szCs w:val="22"/>
              </w:rPr>
              <w:lastRenderedPageBreak/>
              <w:t>тических данных проводится кластеризация выборок сельди из Северного Ледовитого и Тихого океанов. Показано, что на основании генетических данных и особенностей роста и развития вида можно выделить три метапопуляции сельди: трансарктическую, азиатскую (азиатско-тихоокеанскую) и североамериканскую. В работе определено влияние на популяционные параме</w:t>
            </w:r>
            <w:r w:rsidRPr="00A01663">
              <w:rPr>
                <w:rFonts w:ascii="PT Astra Serif" w:hAnsi="PT Astra Serif"/>
                <w:sz w:val="22"/>
                <w:szCs w:val="22"/>
              </w:rPr>
              <w:t>т</w:t>
            </w:r>
            <w:r w:rsidRPr="00A01663">
              <w:rPr>
                <w:rFonts w:ascii="PT Astra Serif" w:hAnsi="PT Astra Serif"/>
                <w:sz w:val="22"/>
                <w:szCs w:val="22"/>
              </w:rPr>
              <w:t>ры сельди таких факторов, как температура воды, соленость и обилие зоопланктона. Установлено, что в течение жизни сельди происходит смена ведущего лимитирующего фактора. На первом году жизни таковым является температура воды, в последующем, когда сеголетки мигрируют из пр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и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брежной в мористую часть акватории, основным лимитирующим фактором становится обилие корма (</w:t>
            </w:r>
            <w:r w:rsidRPr="00A01663">
              <w:rPr>
                <w:rFonts w:ascii="PT Astra Serif" w:hAnsi="PT Astra Serif"/>
                <w:i/>
                <w:iCs/>
                <w:sz w:val="22"/>
                <w:szCs w:val="22"/>
              </w:rPr>
              <w:t xml:space="preserve">p </w:t>
            </w:r>
            <w:r w:rsidRPr="00A01663">
              <w:rPr>
                <w:rFonts w:ascii="PT Astra Serif" w:hAnsi="PT Astra Serif"/>
                <w:sz w:val="22"/>
                <w:szCs w:val="22"/>
              </w:rPr>
              <w:t xml:space="preserve">&lt; 0,05 для обоих факторов). В работе также рассмотрено непосредственное и отсроченное влияние на состояние популяций сельди антропогенного фактора. </w:t>
            </w:r>
          </w:p>
          <w:p w:rsidR="00A01663" w:rsidRDefault="00A01663" w:rsidP="00A01663">
            <w:pPr>
              <w:pStyle w:val="Default"/>
              <w:ind w:firstLine="397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6D7453" w:rsidRPr="00A01663" w:rsidRDefault="006D7453" w:rsidP="00A01663">
            <w:pPr>
              <w:pStyle w:val="Default"/>
              <w:ind w:firstLine="397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01663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Ключевые слова: </w:t>
            </w:r>
            <w:r w:rsidRPr="00A01663">
              <w:rPr>
                <w:rFonts w:ascii="PT Astra Serif" w:hAnsi="PT Astra Serif"/>
                <w:sz w:val="22"/>
                <w:szCs w:val="22"/>
              </w:rPr>
              <w:t xml:space="preserve">генетические маркеры (ДНК), метапопуляция, метаанализ эколого-биологических данных, тихоокеанская сельдь, экологические факторы. </w:t>
            </w:r>
          </w:p>
          <w:p w:rsidR="00A01663" w:rsidRDefault="00A01663" w:rsidP="006D7453">
            <w:pPr>
              <w:ind w:firstLine="397"/>
              <w:rPr>
                <w:rFonts w:ascii="PT Astra Serif" w:hAnsi="PT Astra Serif"/>
                <w:i/>
                <w:iCs/>
              </w:rPr>
            </w:pPr>
          </w:p>
          <w:p w:rsidR="006D7453" w:rsidRDefault="006D7453" w:rsidP="00A01663">
            <w:pPr>
              <w:ind w:firstLine="397"/>
              <w:jc w:val="right"/>
              <w:rPr>
                <w:rFonts w:ascii="PT Astra Serif" w:hAnsi="PT Astra Serif"/>
                <w:i/>
                <w:iCs/>
              </w:rPr>
            </w:pPr>
            <w:r w:rsidRPr="00A01663">
              <w:rPr>
                <w:rFonts w:ascii="PT Astra Serif" w:hAnsi="PT Astra Serif"/>
                <w:i/>
                <w:iCs/>
              </w:rPr>
              <w:t>DOI: 10.17217/2079-0333-2019-48-59-70</w:t>
            </w:r>
          </w:p>
          <w:p w:rsidR="00A01663" w:rsidRPr="00A01663" w:rsidRDefault="00A01663" w:rsidP="00A01663">
            <w:pPr>
              <w:ind w:firstLine="397"/>
              <w:jc w:val="right"/>
              <w:rPr>
                <w:rFonts w:ascii="PT Astra Serif" w:hAnsi="PT Astra Serif"/>
              </w:rPr>
            </w:pPr>
          </w:p>
        </w:tc>
      </w:tr>
      <w:tr w:rsidR="006D7453" w:rsidRPr="00A01663" w:rsidTr="006D7453">
        <w:trPr>
          <w:jc w:val="center"/>
        </w:trPr>
        <w:tc>
          <w:tcPr>
            <w:tcW w:w="9571" w:type="dxa"/>
          </w:tcPr>
          <w:p w:rsidR="006D7453" w:rsidRPr="00A01663" w:rsidRDefault="006D7453" w:rsidP="00A01663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A01663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УДК 669.018.6:582.657.2 </w:t>
            </w:r>
          </w:p>
          <w:p w:rsidR="00A01663" w:rsidRDefault="00A01663" w:rsidP="00A01663">
            <w:pPr>
              <w:pStyle w:val="Default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6D7453" w:rsidRDefault="006D7453" w:rsidP="00A01663">
            <w:pPr>
              <w:pStyle w:val="Default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A01663">
              <w:rPr>
                <w:rFonts w:ascii="PT Astra Serif" w:hAnsi="PT Astra Serif"/>
                <w:b/>
                <w:bCs/>
                <w:sz w:val="22"/>
                <w:szCs w:val="22"/>
              </w:rPr>
              <w:t>Н.А. Дьякова, С.П. Гапонов, А.И. Сливкин</w:t>
            </w:r>
          </w:p>
          <w:p w:rsidR="00A01663" w:rsidRPr="00A01663" w:rsidRDefault="00A01663" w:rsidP="00A01663">
            <w:pPr>
              <w:pStyle w:val="Default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6D7453" w:rsidRDefault="006D7453" w:rsidP="00A01663">
            <w:pPr>
              <w:pStyle w:val="Default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A01663">
              <w:rPr>
                <w:rFonts w:ascii="PT Astra Serif" w:hAnsi="PT Astra Serif"/>
                <w:b/>
                <w:bCs/>
                <w:sz w:val="22"/>
                <w:szCs w:val="22"/>
              </w:rPr>
              <w:t>ИЗУЧЕНИЕ НАКОПЛЕНИЯ ТЯЖЕЛЫХ МЕТАЛЛОВ И МЫШЬЯКА И ОЦЕНКА ВЛИ</w:t>
            </w:r>
            <w:r w:rsidRPr="00A01663">
              <w:rPr>
                <w:rFonts w:ascii="PT Astra Serif" w:hAnsi="PT Astra Serif"/>
                <w:b/>
                <w:bCs/>
                <w:sz w:val="22"/>
                <w:szCs w:val="22"/>
              </w:rPr>
              <w:t>Я</w:t>
            </w:r>
            <w:r w:rsidRPr="00A01663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НИЯ ПОЛЛЮТАНТОВ НА СОДЕРЖАНИЕ ФЛАВОНОИДОВ </w:t>
            </w:r>
            <w:r w:rsidR="00A01663">
              <w:rPr>
                <w:rFonts w:ascii="PT Astra Serif" w:hAnsi="PT Astra Serif"/>
                <w:b/>
                <w:bCs/>
                <w:sz w:val="22"/>
                <w:szCs w:val="22"/>
              </w:rPr>
              <w:br/>
            </w:r>
            <w:r w:rsidRPr="00A01663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У </w:t>
            </w:r>
            <w:r w:rsidRPr="00A01663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 xml:space="preserve">POLYGONUM AVICULARE </w:t>
            </w:r>
            <w:r w:rsidRPr="00A01663">
              <w:rPr>
                <w:rFonts w:ascii="PT Astra Serif" w:hAnsi="PT Astra Serif"/>
                <w:b/>
                <w:bCs/>
                <w:sz w:val="22"/>
                <w:szCs w:val="22"/>
              </w:rPr>
              <w:t>(CARYOPHYLLALES, POLYGONACEAE)</w:t>
            </w:r>
          </w:p>
          <w:p w:rsidR="00A01663" w:rsidRPr="00A01663" w:rsidRDefault="00A01663" w:rsidP="00A01663">
            <w:pPr>
              <w:pStyle w:val="Default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6D7453" w:rsidRPr="00A01663" w:rsidRDefault="006D7453" w:rsidP="00A01663">
            <w:pPr>
              <w:pStyle w:val="Default"/>
              <w:ind w:firstLine="397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01663">
              <w:rPr>
                <w:rFonts w:ascii="PT Astra Serif" w:hAnsi="PT Astra Serif"/>
                <w:sz w:val="22"/>
                <w:szCs w:val="22"/>
              </w:rPr>
              <w:t xml:space="preserve">Проводилось изучение накопления тяжелых металлов (свинца, ртути, кадмия, никеля, меди, цинка, кобальта, хрома) и мышьяка, а также биологически активных веществ у растений </w:t>
            </w:r>
            <w:r w:rsidRPr="00A01663">
              <w:rPr>
                <w:rFonts w:ascii="PT Astra Serif" w:hAnsi="PT Astra Serif"/>
                <w:i/>
                <w:iCs/>
                <w:sz w:val="22"/>
                <w:szCs w:val="22"/>
              </w:rPr>
              <w:t xml:space="preserve">Polygonum aviculare </w:t>
            </w:r>
            <w:r w:rsidRPr="00A01663">
              <w:rPr>
                <w:rFonts w:ascii="PT Astra Serif" w:hAnsi="PT Astra Serif"/>
                <w:sz w:val="22"/>
                <w:szCs w:val="22"/>
              </w:rPr>
              <w:t>L. (трава горец птичий), собранных в районах с различным антропогенным воздействием. Все собранные нами образцы удовлетворяли имеющимся требованиям нормати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в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ной документации по содержанию тяжелых металлов и флавоноидов. Результаты исследования показали, что в некоторых образцах растений с территорий, испытывающих на себе антропоге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н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ную нагрузку и отличающихся повышенным содержанием в верхних слоях почвы и траве токси</w:t>
            </w:r>
            <w:r w:rsidRPr="00A01663">
              <w:rPr>
                <w:rFonts w:ascii="PT Astra Serif" w:hAnsi="PT Astra Serif"/>
                <w:sz w:val="22"/>
                <w:szCs w:val="22"/>
              </w:rPr>
              <w:t>ч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ных элементов, происходила индукция синтеза полифенолов, что, вероятно, связано с их антио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к</w:t>
            </w:r>
            <w:r w:rsidRPr="00A01663">
              <w:rPr>
                <w:rFonts w:ascii="PT Astra Serif" w:hAnsi="PT Astra Serif"/>
                <w:sz w:val="22"/>
                <w:szCs w:val="22"/>
              </w:rPr>
              <w:t>сидантным действием. Выявлено, что умеренное отрицательное влияние на накопление флавоноидов в траве горца птичьего оказывали кадмий и медь. Для остальных элементов отмеч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а</w:t>
            </w:r>
            <w:r w:rsidRPr="00A01663">
              <w:rPr>
                <w:rFonts w:ascii="PT Astra Serif" w:hAnsi="PT Astra Serif"/>
                <w:sz w:val="22"/>
                <w:szCs w:val="22"/>
              </w:rPr>
              <w:t xml:space="preserve">ли слабую отрицательную корреляцию с накоплением флавоноидов в растениях. Данный вид высших растений может служить в биоиндикационных целях. </w:t>
            </w:r>
          </w:p>
          <w:p w:rsidR="00A01663" w:rsidRDefault="00A01663" w:rsidP="00A01663">
            <w:pPr>
              <w:pStyle w:val="Default"/>
              <w:ind w:firstLine="397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6D7453" w:rsidRPr="00A01663" w:rsidRDefault="006D7453" w:rsidP="00A01663">
            <w:pPr>
              <w:pStyle w:val="Default"/>
              <w:ind w:firstLine="397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01663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Ключевые слова: </w:t>
            </w:r>
            <w:r w:rsidRPr="00A01663">
              <w:rPr>
                <w:rFonts w:ascii="PT Astra Serif" w:hAnsi="PT Astra Serif"/>
                <w:i/>
                <w:iCs/>
                <w:sz w:val="22"/>
                <w:szCs w:val="22"/>
              </w:rPr>
              <w:t>Polygonum aviculare</w:t>
            </w:r>
            <w:r w:rsidRPr="00A01663">
              <w:rPr>
                <w:rFonts w:ascii="PT Astra Serif" w:hAnsi="PT Astra Serif"/>
                <w:sz w:val="22"/>
                <w:szCs w:val="22"/>
              </w:rPr>
              <w:t>, горец птичий, тяжелые металлы, флавоноиды, Це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н</w:t>
            </w:r>
            <w:r w:rsidRPr="00A01663">
              <w:rPr>
                <w:rFonts w:ascii="PT Astra Serif" w:hAnsi="PT Astra Serif"/>
                <w:sz w:val="22"/>
                <w:szCs w:val="22"/>
              </w:rPr>
              <w:t xml:space="preserve">тральное Черноземье. </w:t>
            </w:r>
          </w:p>
          <w:p w:rsidR="00A01663" w:rsidRDefault="00A01663" w:rsidP="006D7453">
            <w:pPr>
              <w:pStyle w:val="Default"/>
              <w:ind w:firstLine="397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6D7453" w:rsidRDefault="006D7453" w:rsidP="00A01663">
            <w:pPr>
              <w:ind w:firstLine="397"/>
              <w:jc w:val="right"/>
              <w:rPr>
                <w:rFonts w:ascii="PT Astra Serif" w:hAnsi="PT Astra Serif"/>
                <w:i/>
                <w:iCs/>
              </w:rPr>
            </w:pPr>
            <w:r w:rsidRPr="00A01663">
              <w:rPr>
                <w:rFonts w:ascii="PT Astra Serif" w:hAnsi="PT Astra Serif"/>
                <w:i/>
                <w:iCs/>
              </w:rPr>
              <w:t>DOI: 10.17217/2079-0333-2019-48-71-77</w:t>
            </w:r>
          </w:p>
          <w:p w:rsidR="00A01663" w:rsidRPr="00A01663" w:rsidRDefault="00A01663" w:rsidP="00A01663">
            <w:pPr>
              <w:ind w:firstLine="397"/>
              <w:jc w:val="right"/>
              <w:rPr>
                <w:rFonts w:ascii="PT Astra Serif" w:hAnsi="PT Astra Serif"/>
              </w:rPr>
            </w:pPr>
          </w:p>
        </w:tc>
      </w:tr>
      <w:tr w:rsidR="001179DF" w:rsidRPr="001179DF" w:rsidTr="006D7453">
        <w:trPr>
          <w:jc w:val="center"/>
        </w:trPr>
        <w:tc>
          <w:tcPr>
            <w:tcW w:w="9571" w:type="dxa"/>
          </w:tcPr>
          <w:p w:rsidR="001179DF" w:rsidRPr="001179DF" w:rsidRDefault="001179DF" w:rsidP="001179DF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1179DF">
              <w:rPr>
                <w:rFonts w:ascii="PT Astra Serif" w:hAnsi="PT Astra Serif"/>
                <w:sz w:val="22"/>
                <w:szCs w:val="22"/>
              </w:rPr>
              <w:t xml:space="preserve">УДК </w:t>
            </w:r>
            <w:r w:rsidRPr="001179DF">
              <w:rPr>
                <w:rFonts w:ascii="PT Astra Serif" w:hAnsi="PT Astra Serif"/>
                <w:sz w:val="22"/>
                <w:szCs w:val="22"/>
                <w:lang w:val="en-US"/>
              </w:rPr>
              <w:t>[</w:t>
            </w:r>
            <w:r w:rsidRPr="001179DF">
              <w:rPr>
                <w:rFonts w:ascii="PT Astra Serif" w:hAnsi="PT Astra Serif"/>
                <w:sz w:val="22"/>
                <w:szCs w:val="22"/>
              </w:rPr>
              <w:t>581.6 + 582.272.7+582.272.46</w:t>
            </w:r>
            <w:r w:rsidRPr="001179DF">
              <w:rPr>
                <w:rFonts w:ascii="PT Astra Serif" w:hAnsi="PT Astra Serif"/>
                <w:sz w:val="22"/>
                <w:szCs w:val="22"/>
                <w:lang w:val="en-US"/>
              </w:rPr>
              <w:t>]</w:t>
            </w:r>
            <w:r w:rsidRPr="001179DF">
              <w:rPr>
                <w:rFonts w:ascii="PT Astra Serif" w:hAnsi="PT Astra Serif"/>
                <w:sz w:val="22"/>
                <w:szCs w:val="22"/>
              </w:rPr>
              <w:t xml:space="preserve">(571.66) </w:t>
            </w:r>
          </w:p>
          <w:p w:rsidR="001179DF" w:rsidRPr="001179DF" w:rsidRDefault="001179DF" w:rsidP="001179DF">
            <w:pPr>
              <w:pStyle w:val="Default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1179DF" w:rsidRPr="001179DF" w:rsidRDefault="001179DF" w:rsidP="001179DF">
            <w:pPr>
              <w:pStyle w:val="Defaul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179DF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Т.А. </w:t>
            </w:r>
            <w:proofErr w:type="spellStart"/>
            <w:r w:rsidRPr="001179DF">
              <w:rPr>
                <w:rFonts w:ascii="PT Astra Serif" w:hAnsi="PT Astra Serif"/>
                <w:b/>
                <w:bCs/>
                <w:sz w:val="22"/>
                <w:szCs w:val="22"/>
              </w:rPr>
              <w:t>Клочкова</w:t>
            </w:r>
            <w:proofErr w:type="spellEnd"/>
            <w:r w:rsidRPr="001179DF">
              <w:rPr>
                <w:rFonts w:ascii="PT Astra Serif" w:hAnsi="PT Astra Serif"/>
                <w:b/>
                <w:bCs/>
                <w:sz w:val="22"/>
                <w:szCs w:val="22"/>
              </w:rPr>
              <w:t>, О.А. Дахно, Т.Г. Дахно</w:t>
            </w:r>
          </w:p>
          <w:p w:rsidR="001179DF" w:rsidRPr="001179DF" w:rsidRDefault="001179DF" w:rsidP="001179DF">
            <w:pPr>
              <w:pStyle w:val="Default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1179DF" w:rsidRPr="001179DF" w:rsidRDefault="001179DF" w:rsidP="001179DF">
            <w:pPr>
              <w:pStyle w:val="Default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1179DF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ВЛИЯНИЕ ЭКСТРАКТОВ ВОДОРОСЛЕЙ </w:t>
            </w:r>
            <w:r w:rsidRPr="001179DF">
              <w:rPr>
                <w:rFonts w:ascii="PT Astra Serif" w:hAnsi="PT Astra Serif"/>
                <w:b/>
                <w:bCs/>
                <w:sz w:val="22"/>
                <w:szCs w:val="22"/>
              </w:rPr>
              <w:br/>
              <w:t>НА РАННЕЕ РАЗВИТИЕ ЗЕМЛЯНИКИ САД</w:t>
            </w:r>
            <w:r w:rsidRPr="001179DF">
              <w:rPr>
                <w:rFonts w:ascii="PT Astra Serif" w:hAnsi="PT Astra Serif"/>
                <w:b/>
                <w:bCs/>
                <w:sz w:val="22"/>
                <w:szCs w:val="22"/>
              </w:rPr>
              <w:t>О</w:t>
            </w:r>
            <w:r w:rsidRPr="001179DF">
              <w:rPr>
                <w:rFonts w:ascii="PT Astra Serif" w:hAnsi="PT Astra Serif"/>
                <w:b/>
                <w:bCs/>
                <w:sz w:val="22"/>
                <w:szCs w:val="22"/>
              </w:rPr>
              <w:t>ВОЙ В УСЛОВИЯХ КАМЧАТКИ</w:t>
            </w:r>
          </w:p>
          <w:p w:rsidR="001179DF" w:rsidRPr="001179DF" w:rsidRDefault="001179DF" w:rsidP="001179DF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</w:p>
          <w:p w:rsidR="001179DF" w:rsidRPr="001179DF" w:rsidRDefault="001179DF" w:rsidP="001179DF">
            <w:pPr>
              <w:pStyle w:val="Default"/>
              <w:ind w:firstLine="397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179DF">
              <w:rPr>
                <w:rFonts w:ascii="PT Astra Serif" w:hAnsi="PT Astra Serif"/>
                <w:sz w:val="22"/>
                <w:szCs w:val="22"/>
              </w:rPr>
              <w:t xml:space="preserve">В сельскохозяйственном отношении Камчатка относится к зоне рискованного земледелия. </w:t>
            </w:r>
            <w:proofErr w:type="spellStart"/>
            <w:proofErr w:type="gramStart"/>
            <w:r w:rsidRPr="001179DF">
              <w:rPr>
                <w:rFonts w:ascii="PT Astra Serif" w:hAnsi="PT Astra Serif"/>
                <w:sz w:val="22"/>
                <w:szCs w:val="22"/>
              </w:rPr>
              <w:t>C</w:t>
            </w:r>
            <w:proofErr w:type="gramEnd"/>
            <w:r w:rsidRPr="001179DF">
              <w:rPr>
                <w:rFonts w:ascii="PT Astra Serif" w:hAnsi="PT Astra Serif"/>
                <w:sz w:val="22"/>
                <w:szCs w:val="22"/>
              </w:rPr>
              <w:t>ельское</w:t>
            </w:r>
            <w:proofErr w:type="spellEnd"/>
            <w:r w:rsidRPr="001179DF">
              <w:rPr>
                <w:rFonts w:ascii="PT Astra Serif" w:hAnsi="PT Astra Serif"/>
                <w:sz w:val="22"/>
                <w:szCs w:val="22"/>
              </w:rPr>
              <w:t xml:space="preserve"> хозяйство в регионе дотационное, зависит от государственных субсидий на приобрет</w:t>
            </w:r>
            <w:r w:rsidRPr="001179DF">
              <w:rPr>
                <w:rFonts w:ascii="PT Astra Serif" w:hAnsi="PT Astra Serif"/>
                <w:sz w:val="22"/>
                <w:szCs w:val="22"/>
              </w:rPr>
              <w:t>е</w:t>
            </w:r>
            <w:r w:rsidRPr="001179DF">
              <w:rPr>
                <w:rFonts w:ascii="PT Astra Serif" w:hAnsi="PT Astra Serif"/>
                <w:sz w:val="22"/>
                <w:szCs w:val="22"/>
              </w:rPr>
              <w:t>ние семян, минеральных удобрений, бензина и дизельного топлива. В работе определена перспе</w:t>
            </w:r>
            <w:r w:rsidRPr="001179DF">
              <w:rPr>
                <w:rFonts w:ascii="PT Astra Serif" w:hAnsi="PT Astra Serif"/>
                <w:sz w:val="22"/>
                <w:szCs w:val="22"/>
              </w:rPr>
              <w:t>к</w:t>
            </w:r>
            <w:r w:rsidRPr="001179DF">
              <w:rPr>
                <w:rFonts w:ascii="PT Astra Serif" w:hAnsi="PT Astra Serif"/>
                <w:sz w:val="22"/>
                <w:szCs w:val="22"/>
              </w:rPr>
              <w:t>тивность использования камчатских бурых водорослей в качестве биостимуляторов роста ягодных культур. Проведена оценка воздействия эк</w:t>
            </w:r>
            <w:r w:rsidRPr="001179DF">
              <w:rPr>
                <w:rFonts w:ascii="PT Astra Serif" w:hAnsi="PT Astra Serif"/>
                <w:sz w:val="22"/>
                <w:szCs w:val="22"/>
              </w:rPr>
              <w:t>с</w:t>
            </w:r>
            <w:r w:rsidRPr="001179DF">
              <w:rPr>
                <w:rFonts w:ascii="PT Astra Serif" w:hAnsi="PT Astra Serif"/>
                <w:sz w:val="22"/>
                <w:szCs w:val="22"/>
              </w:rPr>
              <w:t xml:space="preserve">трактов </w:t>
            </w:r>
            <w:proofErr w:type="spellStart"/>
            <w:r w:rsidRPr="001179DF">
              <w:rPr>
                <w:rFonts w:ascii="PT Astra Serif" w:hAnsi="PT Astra Serif"/>
                <w:i/>
                <w:iCs/>
                <w:sz w:val="22"/>
                <w:szCs w:val="22"/>
              </w:rPr>
              <w:t>Fucus</w:t>
            </w:r>
            <w:proofErr w:type="spellEnd"/>
            <w:r w:rsidRPr="001179DF">
              <w:rPr>
                <w:rFonts w:ascii="PT Astra Serif" w:hAnsi="PT Astra Serif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179DF">
              <w:rPr>
                <w:rFonts w:ascii="PT Astra Serif" w:hAnsi="PT Astra Serif"/>
                <w:i/>
                <w:iCs/>
                <w:sz w:val="22"/>
                <w:szCs w:val="22"/>
              </w:rPr>
              <w:t>distichus</w:t>
            </w:r>
            <w:proofErr w:type="spellEnd"/>
            <w:r w:rsidRPr="001179DF">
              <w:rPr>
                <w:rFonts w:ascii="PT Astra Serif" w:hAnsi="PT Astra Serif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179DF">
              <w:rPr>
                <w:rFonts w:ascii="PT Astra Serif" w:hAnsi="PT Astra Serif"/>
                <w:sz w:val="22"/>
                <w:szCs w:val="22"/>
              </w:rPr>
              <w:t>subsp</w:t>
            </w:r>
            <w:proofErr w:type="spellEnd"/>
            <w:r w:rsidRPr="001179DF">
              <w:rPr>
                <w:rFonts w:ascii="PT Astra Serif" w:hAnsi="PT Astra Serif"/>
                <w:sz w:val="22"/>
                <w:szCs w:val="22"/>
              </w:rPr>
              <w:t xml:space="preserve">. </w:t>
            </w:r>
            <w:proofErr w:type="spellStart"/>
            <w:r w:rsidRPr="001179DF">
              <w:rPr>
                <w:rFonts w:ascii="PT Astra Serif" w:hAnsi="PT Astra Serif"/>
                <w:i/>
                <w:iCs/>
                <w:sz w:val="22"/>
                <w:szCs w:val="22"/>
              </w:rPr>
              <w:t>evanescens</w:t>
            </w:r>
            <w:proofErr w:type="spellEnd"/>
            <w:r w:rsidRPr="001179DF">
              <w:rPr>
                <w:rFonts w:ascii="PT Astra Serif" w:hAnsi="PT Astra Serif"/>
                <w:i/>
                <w:iCs/>
                <w:sz w:val="22"/>
                <w:szCs w:val="22"/>
              </w:rPr>
              <w:t xml:space="preserve"> </w:t>
            </w:r>
            <w:r w:rsidRPr="001179DF">
              <w:rPr>
                <w:rFonts w:ascii="PT Astra Serif" w:hAnsi="PT Astra Serif"/>
                <w:sz w:val="22"/>
                <w:szCs w:val="22"/>
              </w:rPr>
              <w:t xml:space="preserve">и </w:t>
            </w:r>
            <w:proofErr w:type="spellStart"/>
            <w:r w:rsidRPr="001179DF">
              <w:rPr>
                <w:rFonts w:ascii="PT Astra Serif" w:hAnsi="PT Astra Serif"/>
                <w:i/>
                <w:iCs/>
                <w:sz w:val="22"/>
                <w:szCs w:val="22"/>
              </w:rPr>
              <w:t>Saccharina</w:t>
            </w:r>
            <w:proofErr w:type="spellEnd"/>
            <w:r w:rsidRPr="001179DF">
              <w:rPr>
                <w:rFonts w:ascii="PT Astra Serif" w:hAnsi="PT Astra Serif"/>
                <w:i/>
                <w:iCs/>
                <w:sz w:val="22"/>
                <w:szCs w:val="22"/>
              </w:rPr>
              <w:t xml:space="preserve"> bongardiana </w:t>
            </w:r>
            <w:r w:rsidRPr="001179DF">
              <w:rPr>
                <w:rFonts w:ascii="PT Astra Serif" w:hAnsi="PT Astra Serif"/>
                <w:sz w:val="22"/>
                <w:szCs w:val="22"/>
              </w:rPr>
              <w:t>на приживаемость, рост и раннее развитие земляники садовой, для чего корневую систему посадочного материала замачивали в водорослевых экстрактах или опрыскивали ими л</w:t>
            </w:r>
            <w:r w:rsidRPr="001179DF">
              <w:rPr>
                <w:rFonts w:ascii="PT Astra Serif" w:hAnsi="PT Astra Serif"/>
                <w:sz w:val="22"/>
                <w:szCs w:val="22"/>
              </w:rPr>
              <w:t>и</w:t>
            </w:r>
            <w:r w:rsidRPr="001179DF">
              <w:rPr>
                <w:rFonts w:ascii="PT Astra Serif" w:hAnsi="PT Astra Serif"/>
                <w:sz w:val="22"/>
                <w:szCs w:val="22"/>
              </w:rPr>
              <w:t xml:space="preserve">стья. Положительный эффект водорослевых экстрактов на развитие растений земляники садовой </w:t>
            </w:r>
            <w:r w:rsidRPr="001179DF">
              <w:rPr>
                <w:rFonts w:ascii="PT Astra Serif" w:hAnsi="PT Astra Serif"/>
                <w:sz w:val="22"/>
                <w:szCs w:val="22"/>
              </w:rPr>
              <w:lastRenderedPageBreak/>
              <w:t>достигался при минимальном количестве исходного водорослевого сырья и при испол</w:t>
            </w:r>
            <w:r w:rsidRPr="001179DF">
              <w:rPr>
                <w:rFonts w:ascii="PT Astra Serif" w:hAnsi="PT Astra Serif"/>
                <w:sz w:val="22"/>
                <w:szCs w:val="22"/>
              </w:rPr>
              <w:t>ь</w:t>
            </w:r>
            <w:r w:rsidRPr="001179DF">
              <w:rPr>
                <w:rFonts w:ascii="PT Astra Serif" w:hAnsi="PT Astra Serif"/>
                <w:sz w:val="22"/>
                <w:szCs w:val="22"/>
              </w:rPr>
              <w:t>зовании низких концентраций экстракта. Даже однократное замачивание корневой системы рассады зе</w:t>
            </w:r>
            <w:r w:rsidRPr="001179DF">
              <w:rPr>
                <w:rFonts w:ascii="PT Astra Serif" w:hAnsi="PT Astra Serif"/>
                <w:sz w:val="22"/>
                <w:szCs w:val="22"/>
              </w:rPr>
              <w:t>м</w:t>
            </w:r>
            <w:r w:rsidRPr="001179DF">
              <w:rPr>
                <w:rFonts w:ascii="PT Astra Serif" w:hAnsi="PT Astra Serif"/>
                <w:sz w:val="22"/>
                <w:szCs w:val="22"/>
              </w:rPr>
              <w:t xml:space="preserve">ляники в водорослевых экстрактах оказало влияние на высоту растений и количество листьев, а опрыскивание вегетирующих надземных частей кустов – на количество усов. </w:t>
            </w:r>
          </w:p>
          <w:p w:rsidR="001179DF" w:rsidRPr="001179DF" w:rsidRDefault="001179DF" w:rsidP="001179DF">
            <w:pPr>
              <w:pStyle w:val="Default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1179DF" w:rsidRPr="001179DF" w:rsidRDefault="001179DF" w:rsidP="001179DF">
            <w:pPr>
              <w:pStyle w:val="Default"/>
              <w:ind w:firstLine="397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179DF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Ключевые слова: </w:t>
            </w:r>
            <w:r w:rsidRPr="001179DF">
              <w:rPr>
                <w:rFonts w:ascii="PT Astra Serif" w:hAnsi="PT Astra Serif"/>
                <w:sz w:val="22"/>
                <w:szCs w:val="22"/>
              </w:rPr>
              <w:t xml:space="preserve">Авачинская губа, биостимуляторы, водорослевый экстракт, </w:t>
            </w:r>
            <w:proofErr w:type="spellStart"/>
            <w:r w:rsidRPr="001179DF">
              <w:rPr>
                <w:rFonts w:ascii="PT Astra Serif" w:hAnsi="PT Astra Serif"/>
                <w:i/>
                <w:iCs/>
                <w:sz w:val="22"/>
                <w:szCs w:val="22"/>
              </w:rPr>
              <w:t>Fucus</w:t>
            </w:r>
            <w:proofErr w:type="spellEnd"/>
            <w:r w:rsidRPr="001179DF">
              <w:rPr>
                <w:rFonts w:ascii="PT Astra Serif" w:hAnsi="PT Astra Serif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179DF">
              <w:rPr>
                <w:rFonts w:ascii="PT Astra Serif" w:hAnsi="PT Astra Serif"/>
                <w:i/>
                <w:iCs/>
                <w:sz w:val="22"/>
                <w:szCs w:val="22"/>
              </w:rPr>
              <w:t>distichus</w:t>
            </w:r>
            <w:proofErr w:type="spellEnd"/>
            <w:r w:rsidRPr="001179DF">
              <w:rPr>
                <w:rFonts w:ascii="PT Astra Serif" w:hAnsi="PT Astra Serif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179DF">
              <w:rPr>
                <w:rFonts w:ascii="PT Astra Serif" w:hAnsi="PT Astra Serif"/>
                <w:sz w:val="22"/>
                <w:szCs w:val="22"/>
              </w:rPr>
              <w:t>subsp</w:t>
            </w:r>
            <w:proofErr w:type="spellEnd"/>
            <w:r w:rsidRPr="001179DF">
              <w:rPr>
                <w:rFonts w:ascii="PT Astra Serif" w:hAnsi="PT Astra Serif"/>
                <w:sz w:val="22"/>
                <w:szCs w:val="22"/>
              </w:rPr>
              <w:t xml:space="preserve">. </w:t>
            </w:r>
            <w:proofErr w:type="spellStart"/>
            <w:r w:rsidRPr="001179DF">
              <w:rPr>
                <w:rFonts w:ascii="PT Astra Serif" w:hAnsi="PT Astra Serif"/>
                <w:i/>
                <w:iCs/>
                <w:sz w:val="22"/>
                <w:szCs w:val="22"/>
              </w:rPr>
              <w:t>evanescens</w:t>
            </w:r>
            <w:proofErr w:type="spellEnd"/>
            <w:r w:rsidRPr="001179DF">
              <w:rPr>
                <w:rFonts w:ascii="PT Astra Serif" w:hAnsi="PT Astra Serif"/>
                <w:sz w:val="22"/>
                <w:szCs w:val="22"/>
              </w:rPr>
              <w:t xml:space="preserve">, </w:t>
            </w:r>
            <w:proofErr w:type="spellStart"/>
            <w:r w:rsidRPr="001179DF">
              <w:rPr>
                <w:rFonts w:ascii="PT Astra Serif" w:hAnsi="PT Astra Serif"/>
                <w:i/>
                <w:iCs/>
                <w:sz w:val="22"/>
                <w:szCs w:val="22"/>
              </w:rPr>
              <w:t>Saccharina</w:t>
            </w:r>
            <w:proofErr w:type="spellEnd"/>
            <w:r w:rsidRPr="001179DF">
              <w:rPr>
                <w:rFonts w:ascii="PT Astra Serif" w:hAnsi="PT Astra Serif"/>
                <w:i/>
                <w:iCs/>
                <w:sz w:val="22"/>
                <w:szCs w:val="22"/>
              </w:rPr>
              <w:t xml:space="preserve"> bongardiana</w:t>
            </w:r>
            <w:r w:rsidRPr="001179DF">
              <w:rPr>
                <w:rFonts w:ascii="PT Astra Serif" w:hAnsi="PT Astra Serif"/>
                <w:sz w:val="22"/>
                <w:szCs w:val="22"/>
              </w:rPr>
              <w:t>, юго-восточная Камчатка, ягодные культуры.</w:t>
            </w:r>
          </w:p>
          <w:p w:rsidR="001179DF" w:rsidRPr="001179DF" w:rsidRDefault="001179DF" w:rsidP="001179DF">
            <w:pPr>
              <w:pStyle w:val="Default"/>
              <w:ind w:firstLine="397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1179DF" w:rsidRPr="001179DF" w:rsidRDefault="001179DF" w:rsidP="001179DF">
            <w:pPr>
              <w:pStyle w:val="Default"/>
              <w:ind w:firstLine="397"/>
              <w:jc w:val="right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proofErr w:type="spellStart"/>
            <w:r w:rsidRPr="001179DF">
              <w:rPr>
                <w:rFonts w:ascii="PT Astra Serif" w:hAnsi="PT Astra Serif"/>
                <w:i/>
                <w:iCs/>
                <w:sz w:val="22"/>
                <w:szCs w:val="22"/>
              </w:rPr>
              <w:t>DOI</w:t>
            </w:r>
            <w:proofErr w:type="spellEnd"/>
            <w:r w:rsidRPr="001179DF">
              <w:rPr>
                <w:rFonts w:ascii="PT Astra Serif" w:hAnsi="PT Astra Serif"/>
                <w:i/>
                <w:iCs/>
                <w:sz w:val="22"/>
                <w:szCs w:val="22"/>
              </w:rPr>
              <w:t>: 10.17217/2079-0333-2019-48-78-89</w:t>
            </w:r>
          </w:p>
          <w:p w:rsidR="001179DF" w:rsidRPr="001179DF" w:rsidRDefault="001179DF" w:rsidP="001179DF">
            <w:pPr>
              <w:pStyle w:val="Default"/>
              <w:ind w:firstLine="397"/>
              <w:jc w:val="right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D7453" w:rsidRPr="00A01663" w:rsidTr="006D7453">
        <w:trPr>
          <w:jc w:val="center"/>
        </w:trPr>
        <w:tc>
          <w:tcPr>
            <w:tcW w:w="9571" w:type="dxa"/>
          </w:tcPr>
          <w:p w:rsidR="006D7453" w:rsidRDefault="006D7453" w:rsidP="00A01663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A01663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УДК 581.6:(582.272.7+582.272.46):634.75 </w:t>
            </w:r>
          </w:p>
          <w:p w:rsidR="00A01663" w:rsidRPr="00A01663" w:rsidRDefault="00A01663" w:rsidP="00A01663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</w:p>
          <w:p w:rsidR="006D7453" w:rsidRDefault="006D7453" w:rsidP="00A01663">
            <w:pPr>
              <w:pStyle w:val="Default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A01663">
              <w:rPr>
                <w:rFonts w:ascii="PT Astra Serif" w:hAnsi="PT Astra Serif"/>
                <w:b/>
                <w:bCs/>
                <w:sz w:val="22"/>
                <w:szCs w:val="22"/>
              </w:rPr>
              <w:t>Т.А. Клочкова, А.В. Климова, Н.Г. Клочкова</w:t>
            </w:r>
          </w:p>
          <w:p w:rsidR="00A01663" w:rsidRPr="00A01663" w:rsidRDefault="00A01663" w:rsidP="00A01663">
            <w:pPr>
              <w:pStyle w:val="Default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6D7453" w:rsidRDefault="006D7453" w:rsidP="00A01663">
            <w:pPr>
              <w:pStyle w:val="Default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A01663">
              <w:rPr>
                <w:rFonts w:ascii="PT Astra Serif" w:hAnsi="PT Astra Serif"/>
                <w:b/>
                <w:bCs/>
                <w:sz w:val="22"/>
                <w:szCs w:val="22"/>
              </w:rPr>
              <w:t>ПЕРСПЕКТИВЫ ИСПОЛЬЗОВАНИЯ КАМЧАТСКИХ ЛАМИНАРИЕВЫХ ВОДОРОСЛЕЙ В РЕГИОНАЛЬНОМ РАСТЕНИЕВОДСТВЕ</w:t>
            </w:r>
          </w:p>
          <w:p w:rsidR="00A01663" w:rsidRPr="00A01663" w:rsidRDefault="00A01663" w:rsidP="00A01663">
            <w:pPr>
              <w:pStyle w:val="Default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6D7453" w:rsidRPr="00A01663" w:rsidRDefault="006D7453" w:rsidP="00A01663">
            <w:pPr>
              <w:pStyle w:val="Default"/>
              <w:ind w:firstLine="397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01663">
              <w:rPr>
                <w:rFonts w:ascii="PT Astra Serif" w:hAnsi="PT Astra Serif"/>
                <w:sz w:val="22"/>
                <w:szCs w:val="22"/>
              </w:rPr>
              <w:t>Широкое использование синтетических удобрений и стимуляторов роста растений дало то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л</w:t>
            </w:r>
            <w:r w:rsidRPr="00A01663">
              <w:rPr>
                <w:rFonts w:ascii="PT Astra Serif" w:hAnsi="PT Astra Serif"/>
                <w:sz w:val="22"/>
                <w:szCs w:val="22"/>
              </w:rPr>
              <w:t>чок для развития промышленного сельского хозяйства. Однако в последние десятилетия во мн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о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гих странах мира становится все более популярным органическое садоводство, при котором не используются искусственные химические удобрения и пестициды. Для получения высококачес</w:t>
            </w:r>
            <w:r w:rsidRPr="00A01663">
              <w:rPr>
                <w:rFonts w:ascii="PT Astra Serif" w:hAnsi="PT Astra Serif"/>
                <w:sz w:val="22"/>
                <w:szCs w:val="22"/>
              </w:rPr>
              <w:t>т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венной экологически чистой продукции с давних пор человечество использует в качестве стим</w:t>
            </w:r>
            <w:r w:rsidRPr="00A01663">
              <w:rPr>
                <w:rFonts w:ascii="PT Astra Serif" w:hAnsi="PT Astra Serif"/>
                <w:sz w:val="22"/>
                <w:szCs w:val="22"/>
              </w:rPr>
              <w:t>у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ляторов роста растений морские водоросли. В работе на основе анализа литературных данных ра</w:t>
            </w:r>
            <w:r w:rsidRPr="00A01663">
              <w:rPr>
                <w:rFonts w:ascii="PT Astra Serif" w:hAnsi="PT Astra Serif"/>
                <w:sz w:val="22"/>
                <w:szCs w:val="22"/>
              </w:rPr>
              <w:t>с</w:t>
            </w:r>
            <w:r w:rsidRPr="00A01663">
              <w:rPr>
                <w:rFonts w:ascii="PT Astra Serif" w:hAnsi="PT Astra Serif"/>
                <w:sz w:val="22"/>
                <w:szCs w:val="22"/>
              </w:rPr>
              <w:t>сматривается их полезное влияние на развитие растений. На шельфе Камчатки основу донной растительности составляют ламинариевые водоросли. Их видовое разнообразие здесь выше, чем в любом другом альгопромысловом районе Российской Федерации. Особенности вертикального распределения и географического распространения ламинариевых, композиция их фитоценозов, биология развития, океанологические и гидометеорологические условия региона обуславливают регулярное формирование вдоль камчатского побережья мощных валов водорослевых выбросов. Их формируют растения, завершившие свое развитие, элиминированные в ходе естественного прореживания зарослей, оторванные от грунта под воздействия сильного волнения. Широкое в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о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влечение морских растительных ресурсов в региональное растениеводство может дать толчок для его развития. Химический состав ламинариевых подвержен значительным сезонным колебаниям, что следует учитывать при выборе вариантов использования водорослевых сборов в региональном растениеводстве</w:t>
            </w:r>
            <w:r w:rsidR="00A01663">
              <w:rPr>
                <w:rStyle w:val="a6"/>
                <w:rFonts w:ascii="PT Astra Serif" w:hAnsi="PT Astra Serif"/>
                <w:sz w:val="22"/>
                <w:szCs w:val="22"/>
              </w:rPr>
              <w:footnoteReference w:customMarkFollows="1" w:id="1"/>
              <w:t>1</w:t>
            </w:r>
            <w:r w:rsidRPr="00A01663">
              <w:rPr>
                <w:rFonts w:ascii="PT Astra Serif" w:hAnsi="PT Astra Serif"/>
                <w:sz w:val="22"/>
                <w:szCs w:val="22"/>
              </w:rPr>
              <w:t xml:space="preserve">. </w:t>
            </w:r>
          </w:p>
          <w:p w:rsidR="006D7453" w:rsidRPr="00A01663" w:rsidRDefault="006D7453" w:rsidP="00A01663">
            <w:pPr>
              <w:pStyle w:val="Default"/>
              <w:ind w:firstLine="397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01663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Ключевые слова: 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водорослевые выбросы, использование водорослей, Камчатка, ламинари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е</w:t>
            </w:r>
            <w:r w:rsidRPr="00A01663">
              <w:rPr>
                <w:rFonts w:ascii="PT Astra Serif" w:hAnsi="PT Astra Serif"/>
                <w:sz w:val="22"/>
                <w:szCs w:val="22"/>
              </w:rPr>
              <w:t xml:space="preserve">вые водоросли, стимуляция роста. </w:t>
            </w:r>
          </w:p>
          <w:p w:rsidR="00A01663" w:rsidRDefault="00A01663" w:rsidP="00A01663">
            <w:pPr>
              <w:pStyle w:val="Default"/>
              <w:ind w:firstLine="397"/>
              <w:jc w:val="both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  <w:p w:rsidR="006D7453" w:rsidRDefault="006D7453" w:rsidP="00A01663">
            <w:pPr>
              <w:pStyle w:val="Default"/>
              <w:ind w:firstLine="397"/>
              <w:jc w:val="right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A01663">
              <w:rPr>
                <w:rFonts w:ascii="PT Astra Serif" w:hAnsi="PT Astra Serif"/>
                <w:i/>
                <w:iCs/>
                <w:sz w:val="22"/>
                <w:szCs w:val="22"/>
              </w:rPr>
              <w:t>DOI: 10.17217/2079-0333-2019-48-90-103</w:t>
            </w:r>
          </w:p>
          <w:p w:rsidR="006D7453" w:rsidRPr="00A01663" w:rsidRDefault="006D7453" w:rsidP="00A01663">
            <w:pPr>
              <w:pStyle w:val="Default"/>
              <w:ind w:firstLine="397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D7453" w:rsidRPr="00A01663" w:rsidTr="006D7453">
        <w:trPr>
          <w:jc w:val="center"/>
        </w:trPr>
        <w:tc>
          <w:tcPr>
            <w:tcW w:w="9571" w:type="dxa"/>
          </w:tcPr>
          <w:p w:rsidR="006D7453" w:rsidRPr="00A01663" w:rsidRDefault="006D7453" w:rsidP="00A01663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A01663">
              <w:rPr>
                <w:rFonts w:ascii="PT Astra Serif" w:hAnsi="PT Astra Serif"/>
                <w:sz w:val="22"/>
                <w:szCs w:val="22"/>
              </w:rPr>
              <w:t xml:space="preserve">УДК 595.384.12(265.52) </w:t>
            </w:r>
          </w:p>
          <w:p w:rsidR="00A01663" w:rsidRDefault="00A01663" w:rsidP="00A01663">
            <w:pPr>
              <w:pStyle w:val="Default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6D7453" w:rsidRPr="00A01663" w:rsidRDefault="006D7453" w:rsidP="00A01663">
            <w:pPr>
              <w:pStyle w:val="Defaul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1663">
              <w:rPr>
                <w:rFonts w:ascii="PT Astra Serif" w:hAnsi="PT Astra Serif"/>
                <w:b/>
                <w:bCs/>
                <w:sz w:val="22"/>
                <w:szCs w:val="22"/>
              </w:rPr>
              <w:t>Н.А. Седова</w:t>
            </w:r>
          </w:p>
          <w:p w:rsidR="00A01663" w:rsidRDefault="00A01663" w:rsidP="00A01663">
            <w:pPr>
              <w:pStyle w:val="Default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6D7453" w:rsidRDefault="006D7453" w:rsidP="00A01663">
            <w:pPr>
              <w:pStyle w:val="Default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A01663">
              <w:rPr>
                <w:rFonts w:ascii="PT Astra Serif" w:hAnsi="PT Astra Serif"/>
                <w:b/>
                <w:bCs/>
                <w:sz w:val="22"/>
                <w:szCs w:val="22"/>
              </w:rPr>
              <w:t>ЭКОЛОГИЧЕСКАЯ КЛАССИФИКАЦИЯ КАРИДНЫХ КРЕВЕТОК (DECAPODA, CARIDEA) ИЗ ПРИКАМЧАТСКИХ ВОД ПО ТИПУ ЛИЧИНОЧНОГО РАЗВИТИЯ</w:t>
            </w:r>
          </w:p>
          <w:p w:rsidR="00A01663" w:rsidRPr="00A01663" w:rsidRDefault="00A01663" w:rsidP="00A01663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</w:p>
          <w:p w:rsidR="006D7453" w:rsidRPr="00A01663" w:rsidRDefault="006D7453" w:rsidP="00A01663">
            <w:pPr>
              <w:pStyle w:val="Default"/>
              <w:ind w:firstLine="397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01663">
              <w:rPr>
                <w:rFonts w:ascii="PT Astra Serif" w:hAnsi="PT Astra Serif"/>
                <w:sz w:val="22"/>
                <w:szCs w:val="22"/>
              </w:rPr>
              <w:t>Рассмотрены особенности личиночного развития каридных креветок и пути адаптации видов к различным условиям обитания. На основании морфологического и экологического сходства лич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и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нок креветки разделены на группы, названные экологическими гильдиями. Выделено семь гил</w:t>
            </w:r>
            <w:r w:rsidRPr="00A01663">
              <w:rPr>
                <w:rFonts w:ascii="PT Astra Serif" w:hAnsi="PT Astra Serif"/>
                <w:sz w:val="22"/>
                <w:szCs w:val="22"/>
              </w:rPr>
              <w:t>ь</w:t>
            </w:r>
            <w:r w:rsidRPr="00A01663">
              <w:rPr>
                <w:rFonts w:ascii="PT Astra Serif" w:hAnsi="PT Astra Serif"/>
                <w:sz w:val="22"/>
                <w:szCs w:val="22"/>
              </w:rPr>
              <w:t xml:space="preserve">дий. Показано, как различные виды могут использовать ресурс одного и того же типа, если они разделены морфологически, пространственно и во времени. </w:t>
            </w:r>
          </w:p>
          <w:p w:rsidR="006D7453" w:rsidRPr="00A01663" w:rsidRDefault="006D7453" w:rsidP="00A01663">
            <w:pPr>
              <w:pStyle w:val="Default"/>
              <w:ind w:firstLine="397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01663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Ключевые слова: 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креветки, личинки, экологические факторы, гильдии, питание, конкуре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н</w:t>
            </w:r>
            <w:r w:rsidRPr="00A01663">
              <w:rPr>
                <w:rFonts w:ascii="PT Astra Serif" w:hAnsi="PT Astra Serif"/>
                <w:sz w:val="22"/>
                <w:szCs w:val="22"/>
              </w:rPr>
              <w:t xml:space="preserve">ция, развитие, стадии. </w:t>
            </w:r>
          </w:p>
          <w:p w:rsidR="00A01663" w:rsidRDefault="00A01663" w:rsidP="006D7453">
            <w:pPr>
              <w:pStyle w:val="Default"/>
              <w:ind w:firstLine="397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6D7453" w:rsidRDefault="006D7453" w:rsidP="00A01663">
            <w:pPr>
              <w:pStyle w:val="Default"/>
              <w:ind w:firstLine="397"/>
              <w:jc w:val="right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A01663">
              <w:rPr>
                <w:rFonts w:ascii="PT Astra Serif" w:hAnsi="PT Astra Serif"/>
                <w:i/>
                <w:iCs/>
                <w:sz w:val="22"/>
                <w:szCs w:val="22"/>
              </w:rPr>
              <w:t>DOI: 10.17217/2079-0333-2019-48-104-115</w:t>
            </w:r>
          </w:p>
          <w:p w:rsidR="00A01663" w:rsidRPr="00A01663" w:rsidRDefault="00A01663" w:rsidP="00A01663">
            <w:pPr>
              <w:pStyle w:val="Default"/>
              <w:ind w:firstLine="397"/>
              <w:jc w:val="right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D7453" w:rsidRPr="00A01663" w:rsidTr="006D7453">
        <w:trPr>
          <w:jc w:val="center"/>
        </w:trPr>
        <w:tc>
          <w:tcPr>
            <w:tcW w:w="9571" w:type="dxa"/>
          </w:tcPr>
          <w:p w:rsidR="006D7453" w:rsidRPr="00A01663" w:rsidRDefault="006D7453" w:rsidP="00A01663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A01663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УДК 577.15:582.739 </w:t>
            </w:r>
          </w:p>
          <w:p w:rsidR="00A01663" w:rsidRDefault="00A01663" w:rsidP="00A01663">
            <w:pPr>
              <w:pStyle w:val="Default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6D7453" w:rsidRDefault="006D7453" w:rsidP="00A01663">
            <w:pPr>
              <w:pStyle w:val="Default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A01663">
              <w:rPr>
                <w:rFonts w:ascii="PT Astra Serif" w:hAnsi="PT Astra Serif"/>
                <w:b/>
                <w:bCs/>
                <w:sz w:val="22"/>
                <w:szCs w:val="22"/>
              </w:rPr>
              <w:t>Д.К. Чернышук, Л.Е. Иваченко, К.С. Голохваст</w:t>
            </w:r>
          </w:p>
          <w:p w:rsidR="00A01663" w:rsidRPr="00A01663" w:rsidRDefault="00A01663" w:rsidP="00A01663">
            <w:pPr>
              <w:pStyle w:val="Default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6D7453" w:rsidRDefault="006D7453" w:rsidP="00A01663">
            <w:pPr>
              <w:pStyle w:val="Default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A01663">
              <w:rPr>
                <w:rFonts w:ascii="PT Astra Serif" w:hAnsi="PT Astra Serif"/>
                <w:b/>
                <w:bCs/>
                <w:sz w:val="22"/>
                <w:szCs w:val="22"/>
              </w:rPr>
              <w:t>ИЗМЕНЧИВОСТЬ АКТИВНОСТИ КИСЛОЙ ФОСФАТАЗЫ У СОИ (</w:t>
            </w:r>
            <w:r w:rsidRPr="00A01663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GLYCINE SOJA</w:t>
            </w:r>
            <w:r w:rsidRPr="00A01663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) </w:t>
            </w:r>
            <w:r w:rsidR="00A01663">
              <w:rPr>
                <w:rFonts w:ascii="PT Astra Serif" w:hAnsi="PT Astra Serif"/>
                <w:b/>
                <w:bCs/>
                <w:sz w:val="22"/>
                <w:szCs w:val="22"/>
              </w:rPr>
              <w:br/>
            </w:r>
            <w:r w:rsidRPr="00A01663">
              <w:rPr>
                <w:rFonts w:ascii="PT Astra Serif" w:hAnsi="PT Astra Serif"/>
                <w:b/>
                <w:bCs/>
                <w:sz w:val="22"/>
                <w:szCs w:val="22"/>
              </w:rPr>
              <w:t>В УСЛОВИЯХ ТОКСИЧЕСКОГО ВОЗДЕЙСТВИЯ СУЛЬФАТОВ КАДМИЯ И МЕДИ</w:t>
            </w:r>
          </w:p>
          <w:p w:rsidR="00A01663" w:rsidRPr="00A01663" w:rsidRDefault="00A01663" w:rsidP="00A01663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</w:p>
          <w:p w:rsidR="006D7453" w:rsidRPr="00A01663" w:rsidRDefault="006D7453" w:rsidP="008A7B58">
            <w:pPr>
              <w:pStyle w:val="Default"/>
              <w:ind w:firstLine="397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01663">
              <w:rPr>
                <w:rFonts w:ascii="PT Astra Serif" w:hAnsi="PT Astra Serif"/>
                <w:sz w:val="22"/>
                <w:szCs w:val="22"/>
              </w:rPr>
              <w:t>Исследование метаболических профилей сои с помощью применения анализа полиморфизма белковых маркерных систем является идеальной генетической основой для решения практических задач ее селекции и получения растений с улучшенными питательными свойствами и агрономич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е</w:t>
            </w:r>
            <w:r w:rsidRPr="00A01663">
              <w:rPr>
                <w:rFonts w:ascii="PT Astra Serif" w:hAnsi="PT Astra Serif"/>
                <w:sz w:val="22"/>
                <w:szCs w:val="22"/>
              </w:rPr>
              <w:t>скими признаками. Нами рассмотрен механизм биохимической адаптации дикорастущей сои к экспериментально смоделированному воздействию сульфатов кадмия и меди в концентрациях, превышающих ориентировочно допустимые в два раза. Установлено, что выращивание сои на почве с внесением сульфатов меди и кадмия приводит к усилению окислительных процессов, ки</w:t>
            </w:r>
            <w:r w:rsidRPr="00A01663">
              <w:rPr>
                <w:rFonts w:ascii="PT Astra Serif" w:hAnsi="PT Astra Serif"/>
                <w:sz w:val="22"/>
                <w:szCs w:val="22"/>
              </w:rPr>
              <w:t>с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лая фосфатаза проявляет стабильную удельную активность и высокую изменчивость множестве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н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ных форм. Медь в исследуемой концентрации являлась более токсичной, чем кадмий. Дополн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и</w:t>
            </w:r>
            <w:r w:rsidRPr="00A01663">
              <w:rPr>
                <w:rFonts w:ascii="PT Astra Serif" w:hAnsi="PT Astra Serif"/>
                <w:sz w:val="22"/>
                <w:szCs w:val="22"/>
              </w:rPr>
              <w:t xml:space="preserve">тельная обработка семян сои дигидрокверцетином перед посевом в загрязненную медью и кадмием почву вызывало снижение удельной активности и увеличение числа множественных форм кислой фосфатазы относительно контроля. Таким образом, предпосевная обработка семян сои дигидрокверцетином способна повысить ее адаптивный потенциал к воздействию сульфатов меди и кадмия. </w:t>
            </w:r>
          </w:p>
          <w:p w:rsidR="006D7453" w:rsidRPr="00A01663" w:rsidRDefault="006D7453" w:rsidP="008A7B58">
            <w:pPr>
              <w:pStyle w:val="Default"/>
              <w:ind w:firstLine="397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01663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Ключевые слова: </w:t>
            </w:r>
            <w:r w:rsidRPr="00A01663">
              <w:rPr>
                <w:rFonts w:ascii="PT Astra Serif" w:hAnsi="PT Astra Serif"/>
                <w:i/>
                <w:iCs/>
                <w:sz w:val="22"/>
                <w:szCs w:val="22"/>
              </w:rPr>
              <w:t>Glycine soja</w:t>
            </w:r>
            <w:r w:rsidRPr="00A01663">
              <w:rPr>
                <w:rFonts w:ascii="PT Astra Serif" w:hAnsi="PT Astra Serif"/>
                <w:sz w:val="22"/>
                <w:szCs w:val="22"/>
              </w:rPr>
              <w:t>, кислая фосфатаза, пероксидаза, тяжелые металлы, окисл</w:t>
            </w:r>
            <w:r w:rsidRPr="00A01663">
              <w:rPr>
                <w:rFonts w:ascii="PT Astra Serif" w:hAnsi="PT Astra Serif"/>
                <w:sz w:val="22"/>
                <w:szCs w:val="22"/>
              </w:rPr>
              <w:t>и</w:t>
            </w:r>
            <w:r w:rsidRPr="00A01663">
              <w:rPr>
                <w:rFonts w:ascii="PT Astra Serif" w:hAnsi="PT Astra Serif"/>
                <w:sz w:val="22"/>
                <w:szCs w:val="22"/>
              </w:rPr>
              <w:t xml:space="preserve">тельный стресс, биохимическая адаптация, дигидрокверцетин. </w:t>
            </w:r>
          </w:p>
          <w:p w:rsidR="008A7B58" w:rsidRDefault="008A7B58" w:rsidP="006D7453">
            <w:pPr>
              <w:pStyle w:val="Default"/>
              <w:ind w:firstLine="397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6D7453" w:rsidRDefault="006D7453" w:rsidP="008A7B58">
            <w:pPr>
              <w:pStyle w:val="Default"/>
              <w:ind w:firstLine="397"/>
              <w:jc w:val="right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A01663">
              <w:rPr>
                <w:rFonts w:ascii="PT Astra Serif" w:hAnsi="PT Astra Serif"/>
                <w:i/>
                <w:iCs/>
                <w:sz w:val="22"/>
                <w:szCs w:val="22"/>
              </w:rPr>
              <w:t>DOI: 10.17217/2079-0333-2019-48-116-124</w:t>
            </w:r>
          </w:p>
          <w:p w:rsidR="008A7B58" w:rsidRPr="00A01663" w:rsidRDefault="008A7B58" w:rsidP="008A7B58">
            <w:pPr>
              <w:pStyle w:val="Default"/>
              <w:ind w:firstLine="397"/>
              <w:jc w:val="right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6D7453" w:rsidRPr="00A01663" w:rsidRDefault="006D7453" w:rsidP="006D7453">
      <w:pPr>
        <w:spacing w:after="0" w:line="240" w:lineRule="auto"/>
        <w:rPr>
          <w:rFonts w:ascii="PT Astra Serif" w:hAnsi="PT Astra Serif"/>
        </w:rPr>
      </w:pPr>
    </w:p>
    <w:sectPr w:rsidR="006D7453" w:rsidRPr="00A01663" w:rsidSect="006D74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C35" w:rsidRDefault="00481C35" w:rsidP="00A01663">
      <w:pPr>
        <w:spacing w:after="0" w:line="240" w:lineRule="auto"/>
      </w:pPr>
      <w:r>
        <w:separator/>
      </w:r>
    </w:p>
  </w:endnote>
  <w:endnote w:type="continuationSeparator" w:id="0">
    <w:p w:rsidR="00481C35" w:rsidRDefault="00481C35" w:rsidP="00A01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C35" w:rsidRDefault="00481C35" w:rsidP="00A01663">
      <w:pPr>
        <w:spacing w:after="0" w:line="240" w:lineRule="auto"/>
      </w:pPr>
      <w:r>
        <w:separator/>
      </w:r>
    </w:p>
  </w:footnote>
  <w:footnote w:type="continuationSeparator" w:id="0">
    <w:p w:rsidR="00481C35" w:rsidRDefault="00481C35" w:rsidP="00A01663">
      <w:pPr>
        <w:spacing w:after="0" w:line="240" w:lineRule="auto"/>
      </w:pPr>
      <w:r>
        <w:continuationSeparator/>
      </w:r>
    </w:p>
  </w:footnote>
  <w:footnote w:id="1">
    <w:p w:rsidR="00A01663" w:rsidRPr="00A01663" w:rsidRDefault="00A01663" w:rsidP="00A01663">
      <w:pPr>
        <w:pStyle w:val="a4"/>
        <w:jc w:val="both"/>
        <w:rPr>
          <w:rFonts w:ascii="PT Astra Serif" w:hAnsi="PT Astra Serif"/>
        </w:rPr>
      </w:pPr>
      <w:r w:rsidRPr="00A01663">
        <w:rPr>
          <w:rStyle w:val="a6"/>
          <w:rFonts w:ascii="PT Astra Serif" w:hAnsi="PT Astra Serif"/>
        </w:rPr>
        <w:t>1</w:t>
      </w:r>
      <w:r w:rsidRPr="00A01663">
        <w:rPr>
          <w:rFonts w:ascii="PT Astra Serif" w:hAnsi="PT Astra Serif"/>
        </w:rPr>
        <w:t xml:space="preserve"> Исследование выполнено при финансовой поддержке Федерального агентства по рыболовству в рамках в</w:t>
      </w:r>
      <w:r w:rsidRPr="00A01663">
        <w:rPr>
          <w:rFonts w:ascii="PT Astra Serif" w:hAnsi="PT Astra Serif"/>
        </w:rPr>
        <w:t>ы</w:t>
      </w:r>
      <w:r w:rsidRPr="00A01663">
        <w:rPr>
          <w:rFonts w:ascii="PT Astra Serif" w:hAnsi="PT Astra Serif"/>
        </w:rPr>
        <w:t>полнения госзадания по темам НИР № госрегистрации АААА-А18-118092690018-5, ААА-А19-119041990004-2</w:t>
      </w:r>
      <w:r>
        <w:rPr>
          <w:rFonts w:ascii="PT Astra Serif" w:hAnsi="PT Astra Serif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proofState w:spelling="clean" w:grammar="clean"/>
  <w:defaultTabStop w:val="708"/>
  <w:autoHyphenation/>
  <w:consecutiveHyphenLimit w:val="3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453"/>
    <w:rsid w:val="001179DF"/>
    <w:rsid w:val="00481C35"/>
    <w:rsid w:val="004A39F1"/>
    <w:rsid w:val="006D7453"/>
    <w:rsid w:val="00714A73"/>
    <w:rsid w:val="008A7B58"/>
    <w:rsid w:val="009E231D"/>
    <w:rsid w:val="00A01663"/>
    <w:rsid w:val="00C14D10"/>
    <w:rsid w:val="00D64111"/>
    <w:rsid w:val="00F14EB2"/>
    <w:rsid w:val="00F70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D74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A0166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0166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0166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1DBB9-7668-4480-8A5B-BA157C3F1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2586</Words>
  <Characters>14745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babuh_ee</dc:creator>
  <cp:lastModifiedBy>babuh_ee</cp:lastModifiedBy>
  <cp:revision>2</cp:revision>
  <dcterms:created xsi:type="dcterms:W3CDTF">2023-09-27T00:23:00Z</dcterms:created>
  <dcterms:modified xsi:type="dcterms:W3CDTF">2023-09-27T01:39:00Z</dcterms:modified>
</cp:coreProperties>
</file>