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3" w:rsidRPr="00A01663" w:rsidRDefault="006D7453" w:rsidP="006D7453">
      <w:pPr>
        <w:spacing w:after="0" w:line="240" w:lineRule="auto"/>
        <w:jc w:val="center"/>
        <w:rPr>
          <w:rFonts w:ascii="PT Astra Serif" w:hAnsi="PT Astra Serif"/>
          <w:b/>
        </w:rPr>
      </w:pPr>
      <w:r w:rsidRPr="00A01663">
        <w:rPr>
          <w:rFonts w:ascii="PT Astra Serif" w:hAnsi="PT Astra Serif"/>
          <w:b/>
        </w:rPr>
        <w:t>Вестник 48</w:t>
      </w:r>
    </w:p>
    <w:p w:rsidR="006D7453" w:rsidRPr="00A01663" w:rsidRDefault="006D7453" w:rsidP="006D7453">
      <w:pPr>
        <w:spacing w:after="0" w:line="240" w:lineRule="auto"/>
        <w:rPr>
          <w:rFonts w:ascii="PT Astra Serif" w:hAnsi="PT Astra Serif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6D745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УДК 57.087:574.5 </w:t>
            </w:r>
          </w:p>
          <w:p w:rsidR="006D7453" w:rsidRPr="00A01663" w:rsidRDefault="006D7453" w:rsidP="006D745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6D745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А.А. Дуленин, О.А. Кудревский</w:t>
            </w:r>
          </w:p>
          <w:p w:rsidR="006D7453" w:rsidRPr="00A01663" w:rsidRDefault="006D7453" w:rsidP="006D745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6D745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ИСПОЛЬЗОВАНИЕ ЛЕГКОГО ТЕЛЕУПРАВЛЯЕМОГО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НЕОБИТАЕМОГО ПОДВОДНОГО АППАРАТА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ДЛЯ МОРСКИХ ПРИБРЕЖНЫХ ГИДРОБИОЛОГИЧЕСКИХ ИССЛЕДОВАНИЙ</w:t>
            </w:r>
          </w:p>
          <w:p w:rsidR="006D7453" w:rsidRPr="00A01663" w:rsidRDefault="006D7453" w:rsidP="006D7453">
            <w:pPr>
              <w:pStyle w:val="Default"/>
              <w:ind w:firstLine="397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6D745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В работе обобщен опыт авторов по использованию в морских гидробиологических исследов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ниях прибрежной зоны легких телеуправляемых необитаемых подводных аппаратов (ТНПА). П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лученные с их помощью данные позволяют составить целостное представление о донных лан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д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шафтах и распределении на морском дне эпибентосных организмов, их технические возможности обеспечивают полную обратную связь аппарата с оператором, высокую скорость работы, знач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тельную глубину погружения, достаточно точное географическое позиционирование. ТНПА им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ют относительно низкую стоимость. Дополнительным преимуществом телеуправляемых аппар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тов является отсутствие законодательного регулирования и регламентации их работы, как это имеет место при проведении водолазных работ. Основным недостатком использования ТНПА я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ляется невозможность систематического отбора проб. Оптимально их использование в сочетании с техническими приспособлениями и методами сбора материала, обеспечивающими регулярный отбор проб – дражным, дночерпательным, водолазным. Методы организации и проведения гидр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биологических исследований с использованием ТНПА аналогичны методам водолазных съемок, но имеют ряд технических особенностей. Исследования авторов показывают, что они пригодны для подводного ландшафтного картирования, проведения промысловой разведки донных бесп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звоночных, качественного и количественного учета массовых гидробионтов. </w:t>
            </w:r>
          </w:p>
          <w:p w:rsidR="006D7453" w:rsidRPr="00A01663" w:rsidRDefault="006D7453" w:rsidP="006D745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6D745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морские гидробиологические исследования, прибрежная зона, телеупра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ляемый необитаемый подводный аппарат (ТНПА). </w:t>
            </w:r>
          </w:p>
          <w:p w:rsidR="006D7453" w:rsidRPr="00A01663" w:rsidRDefault="006D7453" w:rsidP="006D7453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6D7453" w:rsidRPr="00A01663" w:rsidRDefault="006D7453" w:rsidP="006D745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10.17217/2079-0333-2019-48-6-17</w:t>
            </w:r>
          </w:p>
          <w:p w:rsidR="006D7453" w:rsidRPr="00A01663" w:rsidRDefault="006D7453" w:rsidP="006D745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УДК 621.3.018.783.4:621.316.178 </w:t>
            </w:r>
          </w:p>
          <w:p w:rsidR="00A01663" w:rsidRPr="00A01663" w:rsidRDefault="00A01663" w:rsidP="00A0166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В.П. Сивоконь, Д.В. Лапшов, О.А. Белов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ДИАГНОСТИЧЕСКИЕ ПРИЗНАКИ НЕСТАНДАРТНОГО ПРОЯВЛЕНИЯ</w:t>
            </w: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НЕЛИНЕЙНОСТИ В ЭЛЕКТРИЧЕСКИХ СЕТЯХ</w:t>
            </w:r>
          </w:p>
          <w:p w:rsidR="00A01663" w:rsidRP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Использование импульсных блоков питания привело к тому, что большинство потребителей электросетей имеют нелинейные характеристики, что негативно сказывается на уровне высших гармоник и, соот</w:t>
            </w:r>
            <w:r w:rsidR="008A7B58">
              <w:rPr>
                <w:rFonts w:ascii="PT Astra Serif" w:hAnsi="PT Astra Serif"/>
                <w:sz w:val="22"/>
                <w:szCs w:val="22"/>
              </w:rPr>
              <w:t>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етственно, качестве электроэнергии. Высокий уровень гармоник способствует проявлению геомагнитно-индуцированных токов, диагностику которых можно осуществлять п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тем оценки вариаций высших гармоник. Однако собственные гармоники сети могут маскировать процесс формирования их геомагнитно-индуцированными токами. Следовательно, актуальна з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дача поиска нестандартных диагностических признаков присутствия в сетях геомагнитно-индуцированных токов и неисправностей оборудования. Нелинейным процессам свойственно формирование не только высших гармоник, но и целый ряд других явлений, например амплиту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д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ной модуляции. В результате поиска новых подходов в диагностике параметров промышленного тока показана возможность амплитудной модуляции четных гармоник сети, установлены возм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щения акустического диапазона, возбуждаемые асинхронными двигателями. Обнаруженные ф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зические явления могут быть использованы в диагностике геомагнитно-индуцированных токов в электрических сетях и неисправностей асинхронных двигателей. </w:t>
            </w:r>
          </w:p>
          <w:p w:rsidR="00A01663" w:rsidRP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нелинейность в электрических сетях, интергармоники, амплитудная мод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ляция, геомагнитно-индуцированные токи. </w:t>
            </w:r>
          </w:p>
          <w:p w:rsidR="00A01663" w:rsidRP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lastRenderedPageBreak/>
              <w:t>DOI: 10.17217/2079-0333-2019-48-18-27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637.5.035:664.92:634.7 </w:t>
            </w:r>
          </w:p>
          <w:p w:rsidR="00A01663" w:rsidRDefault="00A01663" w:rsidP="00A0166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О.А. Ковалева, Е.М. Здрабова, О.С. Киреева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ПЕРСПЕКТИВЫ ИСПОЛЬЗОВАНИЯ КОНЦЕНТРИРОВАННЫХ ЯГОДНЫХ СОКОВ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В ТЕХНОЛОГИИ МЯСНЫХ ПРОДУКТОВ</w:t>
            </w:r>
          </w:p>
          <w:p w:rsidR="00A01663" w:rsidRP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Продукция мясной промышленности является основным источником полноценного животн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го белка в рационе питания населения. Особенности биохимического состава и свойств отечес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венного мясного сырья обосновывают необходимость поиска новых технологий переработки мяса с целью получения готовых продуктов с высокими потребительскими характеристиками. Весьма перспективно использование в технологии создания конкурентоспособных мясных продуктов ягодного сырья и продуктов его переработки – концентрированных соков. Высокое содержание органических кислот в концентрированных ягодных соках позволяет использовать соки в качестве бактериостатических компонентов при производстве мясных продуктов: в качестве ингредиента посолочной смеси или компонента защитного покрытия для готовых мясопродуктов. Проведе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ные исследования показали улучшение качественных показателей и органолептических характ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ристик новых мясных продуктов, выработанных с применением концентрированного ягодного сока. Установлено, что концентрированные соки в мясной системе проявляют бактериостатич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ские свойства, а также антиоксидантную активность, что пролонгирует сроки годности продукта.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мясные продукты, концентрированный сок черники, концентрированный сок красной смородины, посолочная смесь, органолептический анализ, бактериостатические сво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й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ства, защитные покрытия. </w:t>
            </w:r>
          </w:p>
          <w:p w:rsid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10.17217/2079-0333-2019-48-28-35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УДК 563.961:664.691/.694 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И.В. Крылова, М.В. Ефимова, А.А. Ефимов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ПРИМЕНЕНИЕ КУКУМАРИИ В КАЧЕСТВЕ ДОБАВКИ В МАКАРОННЫЕ ИЗДЕЛИЯ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Традиционные макаронные изделия, изготовленные, как правило, из пшеничной муки и воды, имеют невысокую пищевую ценность, в связи с чем в последние годы их обогащают разными нутриентами. В статье обоснована возможность включения в рецептуру макаронных изделий в качестве обогащающей добавки высушенной и измельченной до порошкообразного состояния к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кумарии охотской (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Cucumaria okhotensis</w:t>
            </w:r>
            <w:r w:rsidRPr="00A01663">
              <w:rPr>
                <w:rFonts w:ascii="PT Astra Serif" w:hAnsi="PT Astra Serif"/>
                <w:sz w:val="22"/>
                <w:szCs w:val="22"/>
              </w:rPr>
              <w:t>). Она, судя по литературным данным, характеризуется высокой пищевой ценностью, содержит спектр незаменимых биологически активных функци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нальных компонентов. Разработан способ получения из кукумарии мелкодисперсного порошка, содержание воды в котором не превышает 3%. Определено рациональное количество добавляемой в макаронное тесто сушеной измельченной кукумарии – 5 г на 100 г муки. При данном соотнош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нии компонентов цвет, форма, вкус, запах, целостность макаронных изделий после варки были оценены по максимальному баллу, вкус и запах добавки кукумарии оценен как умеренный. Пр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веденные исследования расширяют возможности обогащения макаронных изделий за счет вкл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ю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чения в их состав весьма ценной с биологической точки зрения добавки из кукумарии.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макаронные изделия, кукумария, сушка, измельчение, органолептические показатели, качество. </w:t>
            </w:r>
          </w:p>
          <w:p w:rsidR="00A01663" w:rsidRDefault="00A01663" w:rsidP="006D7453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10.17217/2079-0333-2019-48-36-42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УДК 639.2/.3:664.95 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А.И. Уколов, В.П. Родионов, П.П. Старовойтов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ГИДРОКАВИТАЦИОННОЕ СТРУЙНОЕ УДАЛЕНИЕ ВНУТРЕННОСТЕЙ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У ОБЕЗГЛАВЛЕННЫХ РЫБ</w:t>
            </w:r>
          </w:p>
          <w:p w:rsidR="00A01663" w:rsidRPr="00A01663" w:rsidRDefault="00A0166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Работа продолжает цикл статей авторов, посвященных изучению возможности использования гидродинамической суперкавитации для удаления внутренностей у обезглавленных рыб с целью внедрения данного метода в производственную деятельность предприятий рыбной промышленн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сти. Выполненные эксперименты позволили определить оптимальный диапазон давления насо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ной установки, необходимый для обеспечения данного процесса. Установлено, что при использ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вании разработанных авторами кавитаторов очистка рыбы от внутренностей без разрушения ее тела происходит при давлении от 0,5 МПа до 1,5 МПа. Компьютерное моделирование этого пр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цесса подтвердило наличие концентрированной паровой фазы во внутреннем объеме брюшной полости рыбы. Однако за счет фазового перехода у поверхности тела рыбы наблюдается умен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ь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шение давления и скорости потока, что способствует сохранению целостности продукта.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давление, кавитация, моделирование, очистка, переработка рыбы, удаление внутренностей. </w:t>
            </w:r>
          </w:p>
          <w:p w:rsid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10.17217/2079-0333-2019-48-43-48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639.2.03:639.211(265.53) 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В.В. Волобуев, М.Н. Горохов, И.С. Голованов, Л.Л. Хованская, А.В. Ямборко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НЕРКА </w:t>
            </w:r>
            <w:r w:rsidRPr="00A0166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 xml:space="preserve">ONCORHYNCHUS NERKA 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(WALBAUM) СЕВЕРО-ВОСТОЧНОЙ ЧАСТИ МАТ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РИКОВОГО ПОБЕРЕЖЬЯ ОХОТСКОГО МОРЯ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В статье обобщены ранее опубликованные и приведены новые сведения о самом малочисле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ном из тихоокеанских лососей виде 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Oncorhynchus nerka</w:t>
            </w:r>
            <w:r w:rsidRPr="00A01663">
              <w:rPr>
                <w:rFonts w:ascii="PT Astra Serif" w:hAnsi="PT Astra Serif"/>
                <w:sz w:val="22"/>
                <w:szCs w:val="22"/>
              </w:rPr>
              <w:t>, обитающем в водоемах северной части материкового побережья Охотского моря. Представлены данные о ее биологических показателях, структуре популяций, естественном воспроизводстве и хозяйственном использовании. Показано, что в Магаданской области нерка характеризуется относительно небольшими размерами и массой тела – 58–60 см и 2,5–2,8 кг. По условиям воспроизводства она делится на лимнофильный и ре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фильный экотипы, размножающиеся в озерах и руслах рек. Преобладающим экотипом является лимнофильный. Установлено, что в изученных популяциях наравне с проходной формой вида присутствуют неотенические жилые особи нерки, весь жизненный цикл которых проходит в 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тивных озерах. Среди жилой нерки 86–94% составляют самцы. Особенностью репродуктивной экологии лимнофильной нерки является то, что в период размножения карликовые жилые особи совместно с проходными образуют единый нерестовый пул.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возраст, воспроизводство, нерка, промысел, размерно-весовая характер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стика, северо-запад Охотского моря. </w:t>
            </w:r>
          </w:p>
          <w:p w:rsidR="00A01663" w:rsidRDefault="00A01663" w:rsidP="006D7453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10.17217/2079-0333-2019-48-49-58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Default="006D7453" w:rsidP="00A01663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УДК 574.2:639.222.2</w:t>
            </w:r>
          </w:p>
          <w:p w:rsidR="00A01663" w:rsidRPr="00A01663" w:rsidRDefault="00A01663" w:rsidP="00A01663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В.В. Горбачев, А.А. Смирнов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ВЛИЯНИЕ ЭКОЛОГО-БИОЛОГИЧЕСКИХ И ГЕНЕТИЧЕСКИХ ФАКТОРОВ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НА ВНУТРИВИДОВУЮ СТРУКТУРУ ТИХООКЕАНСКОЙ СЕЛЬДИ</w:t>
            </w: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(</w:t>
            </w:r>
            <w:r w:rsidRPr="00A0166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CLUPEA PALLASII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)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Обобщены и проанализированы литературные данные и материалы авторов по влиянию 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новных факторов среды на внутривидовую структуру тихоокеанской сельди по всему ареалу ее обитания. В общей сложности анализу подвергнуты данные изучения сельди в 26 районах поб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режья Евразии и Северной Америки. На основании объединенных эколого-биологических и ген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>тических данных проводится кластеризация выборок сельди из Северного Ледовитого и Тихого океанов. Показано, что на основании генетических данных и особенностей роста и развития вида можно выделить три метапопуляции сельди: трансарктическую, азиатскую (азиатско-тихоокеанскую) и североамериканскую. В работе определено влияние на популяционные параме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ры сельди таких факторов, как температура воды, соленость и обилие зоопланктона. Установлено, что в течение жизни сельди происходит смена ведущего лимитирующего фактора. На первом году жизни таковым является температура воды, в последующем, когда сеголетки мигрируют из пр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брежной в мористую часть акватории, основным лимитирующим фактором становится обилие корма (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p 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&lt; 0,05 для обоих факторов). В работе также рассмотрено непосредственное и отсроченное влияние на состояние популяций сельди антропогенного фактора.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генетические маркеры (ДНК), метапопуляция, метаанализ эколого-биологических данных, тихоокеанская сельдь, экологические факторы. </w:t>
            </w:r>
          </w:p>
          <w:p w:rsidR="00A01663" w:rsidRDefault="00A01663" w:rsidP="006D7453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10.17217/2079-0333-2019-48-59-70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669.018.6:582.657.2 </w:t>
            </w:r>
          </w:p>
          <w:p w:rsidR="00A01663" w:rsidRDefault="00A01663" w:rsidP="00A0166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Н.А. Дьякова, С.П. Гапонов, А.И. Сливкин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ИЗУЧЕНИЕ НАКОПЛЕНИЯ ТЯЖЕЛЫХ МЕТАЛЛОВ И МЫШЬЯКА И ОЦЕНКА ВЛИ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Я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НИЯ ПОЛЛЮТАНТОВ НА СОДЕРЖАНИЕ ФЛАВОНОИДОВ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У </w:t>
            </w:r>
            <w:r w:rsidRPr="00A0166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 xml:space="preserve">POLYGONUM AVICULARE 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(CARYOPHYLLALES, POLYGONACEAE)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Проводилось изучение накопления тяжелых металлов (свинца, ртути, кадмия, никеля, меди, цинка, кобальта, хрома) и мышьяка, а также биологически активных веществ у растений 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Polygonum aviculare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L. (трава горец птичий), собранных в районах с различным антропогенным воздействием. Все собранные нами образцы удовлетворяли имеющимся требованиям нормати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ной документации по содержанию тяжелых металлов и флавоноидов. Результаты исследования показали, что в некоторых образцах растений с территорий, испытывающих на себе антропоге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ную нагрузку и отличающихся повышенным содержанием в верхних слоях почвы и траве токси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ных элементов, происходила индукция синтеза полифенолов, что, вероятно, связано с их антио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к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сидантным действием. Выявлено, что умеренное отрицательное влияние на накопление флавоноидов в траве горца птичьего оказывали кадмий и медь. Для остальных элементов отмеч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ли слабую отрицательную корреляцию с накоплением флавоноидов в растениях. Данный вид высших растений может служить в биоиндикационных целях.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Polygonum aviculare</w:t>
            </w:r>
            <w:r w:rsidRPr="00A01663">
              <w:rPr>
                <w:rFonts w:ascii="PT Astra Serif" w:hAnsi="PT Astra Serif"/>
                <w:sz w:val="22"/>
                <w:szCs w:val="22"/>
              </w:rPr>
              <w:t>, горец птичий, тяжелые металлы, флавоноиды, Це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тральное Черноземье. </w:t>
            </w:r>
          </w:p>
          <w:p w:rsid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01663">
              <w:rPr>
                <w:rFonts w:ascii="PT Astra Serif" w:hAnsi="PT Astra Serif"/>
                <w:i/>
                <w:iCs/>
              </w:rPr>
              <w:t>DOI: 10.17217/2079-0333-2019-48-71-77</w:t>
            </w:r>
          </w:p>
          <w:p w:rsidR="00A01663" w:rsidRPr="00A01663" w:rsidRDefault="00A01663" w:rsidP="00A01663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1179DF" w:rsidRPr="001179DF" w:rsidTr="006D7453">
        <w:trPr>
          <w:jc w:val="center"/>
        </w:trPr>
        <w:tc>
          <w:tcPr>
            <w:tcW w:w="9571" w:type="dxa"/>
          </w:tcPr>
          <w:p w:rsidR="001179DF" w:rsidRPr="001179DF" w:rsidRDefault="001179DF" w:rsidP="001179DF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1179DF">
              <w:rPr>
                <w:rFonts w:ascii="PT Astra Serif" w:hAnsi="PT Astra Serif"/>
                <w:sz w:val="22"/>
                <w:szCs w:val="22"/>
              </w:rPr>
              <w:t xml:space="preserve">УДК </w:t>
            </w:r>
            <w:r w:rsidRPr="001179DF">
              <w:rPr>
                <w:rFonts w:ascii="PT Astra Serif" w:hAnsi="PT Astra Serif"/>
                <w:sz w:val="22"/>
                <w:szCs w:val="22"/>
                <w:lang w:val="en-US"/>
              </w:rPr>
              <w:t>[</w:t>
            </w:r>
            <w:r w:rsidRPr="001179DF">
              <w:rPr>
                <w:rFonts w:ascii="PT Astra Serif" w:hAnsi="PT Astra Serif"/>
                <w:sz w:val="22"/>
                <w:szCs w:val="22"/>
              </w:rPr>
              <w:t>581.6 + 582.272.7+582.272.46</w:t>
            </w:r>
            <w:r w:rsidRPr="001179DF">
              <w:rPr>
                <w:rFonts w:ascii="PT Astra Serif" w:hAnsi="PT Astra Serif"/>
                <w:sz w:val="22"/>
                <w:szCs w:val="22"/>
                <w:lang w:val="en-US"/>
              </w:rPr>
              <w:t>]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(571.66) </w:t>
            </w:r>
          </w:p>
          <w:p w:rsidR="001179DF" w:rsidRPr="001179DF" w:rsidRDefault="001179DF" w:rsidP="001179DF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1179DF" w:rsidRPr="001179DF" w:rsidRDefault="001179DF" w:rsidP="001179DF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Т.А. </w:t>
            </w:r>
            <w:proofErr w:type="spellStart"/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>Клочкова</w:t>
            </w:r>
            <w:proofErr w:type="spellEnd"/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>, О.А. Дахно, Т.Г. Дахно</w:t>
            </w:r>
          </w:p>
          <w:p w:rsidR="001179DF" w:rsidRPr="001179DF" w:rsidRDefault="001179DF" w:rsidP="001179DF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1179DF" w:rsidRPr="001179DF" w:rsidRDefault="001179DF" w:rsidP="001179DF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ВЛИЯНИЕ ЭКСТРАКТОВ ВОДОРОСЛЕЙ </w:t>
            </w: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>НА РАННЕЕ РАЗВИТИЕ ЗЕМЛЯНИКИ САД</w:t>
            </w: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>ВОЙ В УСЛОВИЯХ КАМЧАТКИ</w:t>
            </w:r>
          </w:p>
          <w:p w:rsidR="001179DF" w:rsidRPr="001179DF" w:rsidRDefault="001179DF" w:rsidP="001179DF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1179DF" w:rsidRPr="001179DF" w:rsidRDefault="001179DF" w:rsidP="001179DF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79DF">
              <w:rPr>
                <w:rFonts w:ascii="PT Astra Serif" w:hAnsi="PT Astra Serif"/>
                <w:sz w:val="22"/>
                <w:szCs w:val="22"/>
              </w:rPr>
              <w:t xml:space="preserve">В сельскохозяйственном отношении Камчатка относится к зоне рискованного земледелия. </w:t>
            </w:r>
            <w:proofErr w:type="spellStart"/>
            <w:proofErr w:type="gramStart"/>
            <w:r w:rsidRPr="001179DF">
              <w:rPr>
                <w:rFonts w:ascii="PT Astra Serif" w:hAnsi="PT Astra Serif"/>
                <w:sz w:val="22"/>
                <w:szCs w:val="22"/>
              </w:rPr>
              <w:t>C</w:t>
            </w:r>
            <w:proofErr w:type="gramEnd"/>
            <w:r w:rsidRPr="001179DF">
              <w:rPr>
                <w:rFonts w:ascii="PT Astra Serif" w:hAnsi="PT Astra Serif"/>
                <w:sz w:val="22"/>
                <w:szCs w:val="22"/>
              </w:rPr>
              <w:t>ельское</w:t>
            </w:r>
            <w:proofErr w:type="spellEnd"/>
            <w:r w:rsidRPr="001179DF">
              <w:rPr>
                <w:rFonts w:ascii="PT Astra Serif" w:hAnsi="PT Astra Serif"/>
                <w:sz w:val="22"/>
                <w:szCs w:val="22"/>
              </w:rPr>
              <w:t xml:space="preserve"> хозяйство в регионе дотационное, зависит от государственных субсидий на приобрет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е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ние семян, минеральных удобрений, бензина и дизельного топлива. В работе определена перспе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к</w:t>
            </w:r>
            <w:r w:rsidRPr="001179DF">
              <w:rPr>
                <w:rFonts w:ascii="PT Astra Serif" w:hAnsi="PT Astra Serif"/>
                <w:sz w:val="22"/>
                <w:szCs w:val="22"/>
              </w:rPr>
              <w:t>тивность использования камчатских бурых водорослей в качестве биостимуляторов роста ягодных культур. Проведена оценка воздействия эк</w:t>
            </w:r>
            <w:r w:rsidRPr="001179DF">
              <w:rPr>
                <w:rFonts w:ascii="PT Astra Serif" w:hAnsi="PT Astra Serif"/>
                <w:sz w:val="22"/>
                <w:szCs w:val="22"/>
              </w:rPr>
              <w:t>с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трактов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Fucus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distichus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79DF">
              <w:rPr>
                <w:rFonts w:ascii="PT Astra Serif" w:hAnsi="PT Astra Serif"/>
                <w:sz w:val="22"/>
                <w:szCs w:val="22"/>
              </w:rPr>
              <w:t>subsp</w:t>
            </w:r>
            <w:proofErr w:type="spellEnd"/>
            <w:r w:rsidRPr="001179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evanescens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и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Saccharina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bongardiana 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на приживаемость, рост и раннее развитие земляники садовой, для чего корневую систему посадочного материала замачивали в водорослевых экстрактах или опрыскивали ими л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и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стья. Положительный эффект водорослевых экстрактов на развитие растений земляники садовой </w:t>
            </w:r>
            <w:r w:rsidRPr="001179DF">
              <w:rPr>
                <w:rFonts w:ascii="PT Astra Serif" w:hAnsi="PT Astra Serif"/>
                <w:sz w:val="22"/>
                <w:szCs w:val="22"/>
              </w:rPr>
              <w:lastRenderedPageBreak/>
              <w:t>достигался при минимальном количестве исходного водорослевого сырья и при испол</w:t>
            </w:r>
            <w:r w:rsidRPr="001179DF">
              <w:rPr>
                <w:rFonts w:ascii="PT Astra Serif" w:hAnsi="PT Astra Serif"/>
                <w:sz w:val="22"/>
                <w:szCs w:val="22"/>
              </w:rPr>
              <w:t>ь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зовании низких концентраций экстракта. Даже однократное замачивание корневой системы рассады зе</w:t>
            </w:r>
            <w:r w:rsidRPr="001179DF">
              <w:rPr>
                <w:rFonts w:ascii="PT Astra Serif" w:hAnsi="PT Astra Serif"/>
                <w:sz w:val="22"/>
                <w:szCs w:val="22"/>
              </w:rPr>
              <w:t>м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ляники в водорослевых экстрактах оказало влияние на высоту растений и количество листьев, а опрыскивание вегетирующих надземных частей кустов – на количество усов. </w:t>
            </w:r>
          </w:p>
          <w:p w:rsidR="001179DF" w:rsidRPr="001179DF" w:rsidRDefault="001179DF" w:rsidP="001179DF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1179DF" w:rsidRPr="001179DF" w:rsidRDefault="001179DF" w:rsidP="001179DF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79D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1179DF">
              <w:rPr>
                <w:rFonts w:ascii="PT Astra Serif" w:hAnsi="PT Astra Serif"/>
                <w:sz w:val="22"/>
                <w:szCs w:val="22"/>
              </w:rPr>
              <w:t xml:space="preserve">Авачинская губа, биостимуляторы, водорослевый экстракт,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Fucus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distichus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79DF">
              <w:rPr>
                <w:rFonts w:ascii="PT Astra Serif" w:hAnsi="PT Astra Serif"/>
                <w:sz w:val="22"/>
                <w:szCs w:val="22"/>
              </w:rPr>
              <w:t>subsp</w:t>
            </w:r>
            <w:proofErr w:type="spellEnd"/>
            <w:r w:rsidRPr="001179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evanescens</w:t>
            </w:r>
            <w:proofErr w:type="spellEnd"/>
            <w:r w:rsidRPr="001179D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Saccharina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bongardiana</w:t>
            </w:r>
            <w:r w:rsidRPr="001179DF">
              <w:rPr>
                <w:rFonts w:ascii="PT Astra Serif" w:hAnsi="PT Astra Serif"/>
                <w:sz w:val="22"/>
                <w:szCs w:val="22"/>
              </w:rPr>
              <w:t>, юго-восточная Камчатка, ягодные культуры.</w:t>
            </w:r>
          </w:p>
          <w:p w:rsidR="001179DF" w:rsidRPr="001179DF" w:rsidRDefault="001179DF" w:rsidP="001179DF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179DF" w:rsidRPr="001179DF" w:rsidRDefault="001179DF" w:rsidP="001179DF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proofErr w:type="spellStart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DOI</w:t>
            </w:r>
            <w:proofErr w:type="spellEnd"/>
            <w:r w:rsidRPr="001179DF">
              <w:rPr>
                <w:rFonts w:ascii="PT Astra Serif" w:hAnsi="PT Astra Serif"/>
                <w:i/>
                <w:iCs/>
                <w:sz w:val="22"/>
                <w:szCs w:val="22"/>
              </w:rPr>
              <w:t>: 10.17217/2079-0333-2019-48-78-89</w:t>
            </w:r>
          </w:p>
          <w:p w:rsidR="001179DF" w:rsidRPr="001179DF" w:rsidRDefault="001179DF" w:rsidP="001179DF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581.6:(582.272.7+582.272.46):634.75 </w:t>
            </w:r>
          </w:p>
          <w:p w:rsidR="00A01663" w:rsidRPr="00A01663" w:rsidRDefault="00A0166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Т.А. Клочкова, А.В. Климова, Н.Г. Клочкова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ПЕРСПЕКТИВЫ ИСПОЛЬЗОВАНИЯ КАМЧАТСКИХ ЛАМИНАРИЕВЫХ ВОДОРОСЛЕЙ В РЕГИОНАЛЬНОМ РАСТЕНИЕВОДСТВЕ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Широкое использование синтетических удобрений и стимуляторов роста растений дало то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л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чок для развития промышленного сельского хозяйства. Однако в последние десятилетия во мн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гих странах мира становится все более популярным органическое садоводство, при котором не используются искусственные химические удобрения и пестициды. Для получения высококачес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т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венной экологически чистой продукции с давних пор человечество использует в качестве стим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у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ляторов роста растений морские водоросли. В работе на основе анализа литературных данных ра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сматривается их полезное влияние на развитие растений. На шельфе Камчатки основу донной растительности составляют ламинариевые водоросли. Их видовое разнообразие здесь выше, чем в любом другом альгопромысловом районе Российской Федерации. Особенности вертикального распределения и географического распространения ламинариевых, композиция их фитоценозов, биология развития, океанологические и гидометеорологические условия региона обуславливают регулярное формирование вдоль камчатского побережья мощных валов водорослевых выбросов. Их формируют растения, завершившие свое развитие, элиминированные в ходе естественного прореживания зарослей, оторванные от грунта под воздействия сильного волнения. Широкое в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о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влечение морских растительных ресурсов в региональное растениеводство может дать толчок для его развития. Химический состав ламинариевых подвержен значительным сезонным колебаниям, что следует учитывать при выборе вариантов использования водорослевых сборов в региональном растениеводстве</w:t>
            </w:r>
            <w:r w:rsidR="00A01663">
              <w:rPr>
                <w:rStyle w:val="a6"/>
                <w:rFonts w:ascii="PT Astra Serif" w:hAnsi="PT Astra Serif"/>
                <w:sz w:val="22"/>
                <w:szCs w:val="22"/>
              </w:rPr>
              <w:footnoteReference w:customMarkFollows="1" w:id="1"/>
              <w:t>1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водорослевые выбросы, использование водорослей, Камчатка, ламинари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вые водоросли, стимуляция роста. </w:t>
            </w:r>
          </w:p>
          <w:p w:rsidR="00A01663" w:rsidRDefault="00A0166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10.17217/2079-0333-2019-48-90-103</w:t>
            </w:r>
          </w:p>
          <w:p w:rsidR="006D7453" w:rsidRPr="00A01663" w:rsidRDefault="006D7453" w:rsidP="00A01663">
            <w:pPr>
              <w:pStyle w:val="Default"/>
              <w:ind w:firstLine="397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 xml:space="preserve">УДК 595.384.12(265.52) </w:t>
            </w:r>
          </w:p>
          <w:p w:rsidR="00A01663" w:rsidRDefault="00A01663" w:rsidP="00A0166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Н.А. Седова</w:t>
            </w:r>
          </w:p>
          <w:p w:rsidR="00A01663" w:rsidRDefault="00A0166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ЭКОЛОГИЧЕСКАЯ КЛАССИФИКАЦИЯ КАРИДНЫХ КРЕВЕТОК (DECAPODA, CARIDEA) ИЗ ПРИКАМЧАТСКИХ ВОД ПО ТИПУ ЛИЧИНОЧНОГО РАЗВИТИЯ</w:t>
            </w:r>
          </w:p>
          <w:p w:rsidR="00A01663" w:rsidRPr="00A01663" w:rsidRDefault="00A0166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Рассмотрены особенности личиночного развития каридных креветок и пути адаптации видов к различным условиям обитания. На основании морфологического и экологического сходства лич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нок креветки разделены на группы, названные экологическими гильдиями. Выделено семь гил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ь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дий. Показано, как различные виды могут использовать ресурс одного и того же типа, если они разделены морфологически, пространственно и во времени. </w:t>
            </w:r>
          </w:p>
          <w:p w:rsidR="006D7453" w:rsidRPr="00A01663" w:rsidRDefault="006D7453" w:rsidP="00A01663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креветки, личинки, экологические факторы, гильдии, питание, конкуре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ция, развитие, стадии. </w:t>
            </w:r>
          </w:p>
          <w:p w:rsidR="00A01663" w:rsidRDefault="00A01663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10.17217/2079-0333-2019-48-104-115</w:t>
            </w:r>
          </w:p>
          <w:p w:rsidR="00A01663" w:rsidRPr="00A01663" w:rsidRDefault="00A01663" w:rsidP="00A01663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D7453" w:rsidRPr="00A01663" w:rsidTr="006D7453">
        <w:trPr>
          <w:jc w:val="center"/>
        </w:trPr>
        <w:tc>
          <w:tcPr>
            <w:tcW w:w="9571" w:type="dxa"/>
          </w:tcPr>
          <w:p w:rsidR="006D7453" w:rsidRPr="00A01663" w:rsidRDefault="006D745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577.15:582.739 </w:t>
            </w:r>
          </w:p>
          <w:p w:rsidR="00A01663" w:rsidRDefault="00A01663" w:rsidP="00A01663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Д.К. Чернышук, Л.Е. Иваченко, К.С. Голохваст</w:t>
            </w:r>
          </w:p>
          <w:p w:rsidR="00A01663" w:rsidRPr="00A01663" w:rsidRDefault="00A01663" w:rsidP="00A01663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D7453" w:rsidRDefault="006D7453" w:rsidP="00A01663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ИЗМЕНЧИВОСТЬ АКТИВНОСТИ КИСЛОЙ ФОСФАТАЗЫ У СОИ (</w:t>
            </w:r>
            <w:r w:rsidRPr="00A0166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GLYCINE SOJA</w:t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) </w:t>
            </w:r>
            <w:r w:rsidR="00A01663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>В УСЛОВИЯХ ТОКСИЧЕСКОГО ВОЗДЕЙСТВИЯ СУЛЬФАТОВ КАДМИЯ И МЕДИ</w:t>
            </w:r>
          </w:p>
          <w:p w:rsidR="00A01663" w:rsidRPr="00A01663" w:rsidRDefault="00A01663" w:rsidP="00A01663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6D7453" w:rsidRPr="00A01663" w:rsidRDefault="006D7453" w:rsidP="008A7B58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sz w:val="22"/>
                <w:szCs w:val="22"/>
              </w:rPr>
              <w:t>Исследование метаболических профилей сои с помощью применения анализа полиморфизма белковых маркерных систем является идеальной генетической основой для решения практических задач ее селекции и получения растений с улучшенными питательными свойствами и агрономич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скими признаками. Нами рассмотрен механизм биохимической адаптации дикорастущей сои к экспериментально смоделированному воздействию сульфатов кадмия и меди в концентрациях, превышающих ориентировочно допустимые в два раза. Установлено, что выращивание сои на почве с внесением сульфатов меди и кадмия приводит к усилению окислительных процессов, ки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>с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лая фосфатаза проявляет стабильную удельную активность и высокую изменчивость множестве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ных форм. Медь в исследуемой концентрации являлась более токсичной, чем кадмий. Дополн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тельная обработка семян сои дигидрокверцетином перед посевом в загрязненную медью и кадмием почву вызывало снижение удельной активности и увеличение числа множественных форм кислой фосфатазы относительно контроля. Таким образом, предпосевная обработка семян сои дигидрокверцетином способна повысить ее адаптивный потенциал к воздействию сульфатов меди и кадмия. </w:t>
            </w:r>
          </w:p>
          <w:p w:rsidR="006D7453" w:rsidRPr="00A01663" w:rsidRDefault="006D7453" w:rsidP="008A7B58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0166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Glycine soja</w:t>
            </w:r>
            <w:r w:rsidRPr="00A01663">
              <w:rPr>
                <w:rFonts w:ascii="PT Astra Serif" w:hAnsi="PT Astra Serif"/>
                <w:sz w:val="22"/>
                <w:szCs w:val="22"/>
              </w:rPr>
              <w:t>, кислая фосфатаза, пероксидаза, тяжелые металлы, окисл</w:t>
            </w:r>
            <w:r w:rsidRPr="00A01663">
              <w:rPr>
                <w:rFonts w:ascii="PT Astra Serif" w:hAnsi="PT Astra Serif"/>
                <w:sz w:val="22"/>
                <w:szCs w:val="22"/>
              </w:rPr>
              <w:t>и</w:t>
            </w:r>
            <w:r w:rsidRPr="00A01663">
              <w:rPr>
                <w:rFonts w:ascii="PT Astra Serif" w:hAnsi="PT Astra Serif"/>
                <w:sz w:val="22"/>
                <w:szCs w:val="22"/>
              </w:rPr>
              <w:t xml:space="preserve">тельный стресс, биохимическая адаптация, дигидрокверцетин. </w:t>
            </w:r>
          </w:p>
          <w:p w:rsidR="008A7B58" w:rsidRDefault="008A7B58" w:rsidP="006D7453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6D7453" w:rsidRDefault="006D7453" w:rsidP="008A7B58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01663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10.17217/2079-0333-2019-48-116-124</w:t>
            </w:r>
          </w:p>
          <w:p w:rsidR="008A7B58" w:rsidRPr="00A01663" w:rsidRDefault="008A7B58" w:rsidP="008A7B58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D7453" w:rsidRPr="00A01663" w:rsidRDefault="006D7453" w:rsidP="006D7453">
      <w:pPr>
        <w:spacing w:after="0" w:line="240" w:lineRule="auto"/>
        <w:rPr>
          <w:rFonts w:ascii="PT Astra Serif" w:hAnsi="PT Astra Serif"/>
        </w:rPr>
      </w:pPr>
    </w:p>
    <w:sectPr w:rsidR="006D7453" w:rsidRPr="00A01663" w:rsidSect="006D74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35" w:rsidRDefault="00481C35" w:rsidP="00A01663">
      <w:pPr>
        <w:spacing w:after="0" w:line="240" w:lineRule="auto"/>
      </w:pPr>
      <w:r>
        <w:separator/>
      </w:r>
    </w:p>
  </w:endnote>
  <w:endnote w:type="continuationSeparator" w:id="0">
    <w:p w:rsidR="00481C35" w:rsidRDefault="00481C35" w:rsidP="00A0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35" w:rsidRDefault="00481C35" w:rsidP="00A01663">
      <w:pPr>
        <w:spacing w:after="0" w:line="240" w:lineRule="auto"/>
      </w:pPr>
      <w:r>
        <w:separator/>
      </w:r>
    </w:p>
  </w:footnote>
  <w:footnote w:type="continuationSeparator" w:id="0">
    <w:p w:rsidR="00481C35" w:rsidRDefault="00481C35" w:rsidP="00A01663">
      <w:pPr>
        <w:spacing w:after="0" w:line="240" w:lineRule="auto"/>
      </w:pPr>
      <w:r>
        <w:continuationSeparator/>
      </w:r>
    </w:p>
  </w:footnote>
  <w:footnote w:id="1">
    <w:p w:rsidR="00A01663" w:rsidRPr="00A01663" w:rsidRDefault="00A01663" w:rsidP="00A01663">
      <w:pPr>
        <w:pStyle w:val="a4"/>
        <w:jc w:val="both"/>
        <w:rPr>
          <w:rFonts w:ascii="PT Astra Serif" w:hAnsi="PT Astra Serif"/>
        </w:rPr>
      </w:pPr>
      <w:r w:rsidRPr="00A01663">
        <w:rPr>
          <w:rStyle w:val="a6"/>
          <w:rFonts w:ascii="PT Astra Serif" w:hAnsi="PT Astra Serif"/>
        </w:rPr>
        <w:t>1</w:t>
      </w:r>
      <w:r w:rsidRPr="00A01663">
        <w:rPr>
          <w:rFonts w:ascii="PT Astra Serif" w:hAnsi="PT Astra Serif"/>
        </w:rPr>
        <w:t xml:space="preserve"> Исследование выполнено при финансовой поддержке Федерального агентства по рыболовству в рамках в</w:t>
      </w:r>
      <w:r w:rsidRPr="00A01663">
        <w:rPr>
          <w:rFonts w:ascii="PT Astra Serif" w:hAnsi="PT Astra Serif"/>
        </w:rPr>
        <w:t>ы</w:t>
      </w:r>
      <w:r w:rsidRPr="00A01663">
        <w:rPr>
          <w:rFonts w:ascii="PT Astra Serif" w:hAnsi="PT Astra Serif"/>
        </w:rPr>
        <w:t>полнения госзадания по темам НИР № госрегистрации АААА-А18-118092690018-5, ААА-А19-119041990004-2</w:t>
      </w:r>
      <w:r>
        <w:rPr>
          <w:rFonts w:ascii="PT Astra Serif" w:hAnsi="PT Astra Seri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53"/>
    <w:rsid w:val="001179DF"/>
    <w:rsid w:val="00481C35"/>
    <w:rsid w:val="004A39F1"/>
    <w:rsid w:val="006D7453"/>
    <w:rsid w:val="00714A73"/>
    <w:rsid w:val="008A7B58"/>
    <w:rsid w:val="009E231D"/>
    <w:rsid w:val="00A01663"/>
    <w:rsid w:val="00C14D10"/>
    <w:rsid w:val="00D64111"/>
    <w:rsid w:val="00F14EB2"/>
    <w:rsid w:val="00F7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016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16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16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DBB9-7668-4480-8A5B-BA157C3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2</cp:revision>
  <dcterms:created xsi:type="dcterms:W3CDTF">2023-09-27T00:23:00Z</dcterms:created>
  <dcterms:modified xsi:type="dcterms:W3CDTF">2023-09-27T01:39:00Z</dcterms:modified>
</cp:coreProperties>
</file>