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34" w:rsidRPr="00A12534" w:rsidRDefault="00A12534" w:rsidP="00A12534">
      <w:pPr>
        <w:spacing w:after="0" w:line="240" w:lineRule="auto"/>
        <w:ind w:firstLine="397"/>
        <w:jc w:val="center"/>
        <w:rPr>
          <w:rFonts w:ascii="PT Astra Serif" w:hAnsi="PT Astra Serif"/>
          <w:b/>
        </w:rPr>
      </w:pPr>
      <w:r w:rsidRPr="00A12534">
        <w:rPr>
          <w:rFonts w:ascii="PT Astra Serif" w:hAnsi="PT Astra Serif"/>
          <w:b/>
        </w:rPr>
        <w:t>Вестник 45</w:t>
      </w:r>
    </w:p>
    <w:p w:rsidR="00A12534" w:rsidRPr="00A12534" w:rsidRDefault="00A12534" w:rsidP="00A12534">
      <w:pPr>
        <w:spacing w:after="0" w:line="240" w:lineRule="auto"/>
        <w:ind w:firstLine="397"/>
        <w:rPr>
          <w:rFonts w:ascii="PT Astra Serif" w:hAnsi="PT Astra Serif"/>
        </w:rPr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A12534" w:rsidRPr="00A12534" w:rsidTr="00A12534">
        <w:trPr>
          <w:jc w:val="center"/>
        </w:trPr>
        <w:tc>
          <w:tcPr>
            <w:tcW w:w="9571" w:type="dxa"/>
          </w:tcPr>
          <w:p w:rsidR="00A12534" w:rsidRDefault="00A12534" w:rsidP="00A12534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t>УДК 628.31</w:t>
            </w:r>
          </w:p>
          <w:p w:rsidR="00A12534" w:rsidRPr="00A12534" w:rsidRDefault="00A12534" w:rsidP="00A12534">
            <w:pPr>
              <w:pStyle w:val="Default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A12534" w:rsidRDefault="00A12534" w:rsidP="00A12534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С.В. Свергузова, И.Г. Шайхиев, Ж.А. Сапронова, Р.Р. Валиев</w:t>
            </w:r>
          </w:p>
          <w:p w:rsidR="00A12534" w:rsidRPr="00A12534" w:rsidRDefault="00A12534" w:rsidP="00A12534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12534" w:rsidRPr="00A12534" w:rsidRDefault="00A12534" w:rsidP="00A12534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ИСПОЛЬЗОВАНИЕ ОТХОДОВ ПЕРЕРАБОТКИ ГАББРО-ДИАБАЗА</w:t>
            </w:r>
          </w:p>
          <w:p w:rsidR="00A12534" w:rsidRDefault="00A12534" w:rsidP="00A12534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ДЛЯ ОЧИСТКИ СТОЧНЫХ ВОД</w:t>
            </w:r>
          </w:p>
          <w:p w:rsidR="00A12534" w:rsidRPr="00A12534" w:rsidRDefault="00A12534" w:rsidP="00A12534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12534" w:rsidRPr="00A12534" w:rsidRDefault="00A12534" w:rsidP="00A12534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t>Разработка новых эффективных сорбционных материалов на основе промышленных и сел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ь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скохозяйственных отходов представляет собой актуальную задачу. В работе рассмотрена возмо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ж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ность использования отходов обработки габбро-диабаза (обломков, крошки, пыли) для получения сорбционных материалов, пригодных к использованию в водоочистке. Приведены справочные данные по их химическому составу и некоторым физическим свойствам (средняя плотность, и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с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тинная плотность, пористость, истираемость, ударная вязкость, модуль упругости при сжатии, в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допоглощение, предел прочности, марка по морозостойкости, потери при истирании). При микр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скопических исследованиях, проведенных с помощью высокоразрешающего микроскопа «Hitachi-8-800», на поверхности частиц габбро-диабаза обнаружены разупорядоченные частицы микро- и наноразмеров неправильной формы с сетчатой структурой поверхности и множеством активных центров, что свидетельствует о наличии сорбционных свойств у исследуемого габбро-диабаза. При исследовании суспензионного эффекта в системе габбро-диабаз – вода установлено, что п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верхность частиц габбро-диабаза имеет положительный заряд. Об этом свидетельствует подкисл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ние фильтрата по сравнению с суспензией. При очистке модельных растворов красителя метил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нового голубого с концентрацией 10 мг/дм</w:t>
            </w:r>
            <w:r w:rsidRPr="005C6FFC">
              <w:rPr>
                <w:rFonts w:ascii="PT Astra Serif" w:hAnsi="PT Astra Serif"/>
                <w:sz w:val="22"/>
                <w:szCs w:val="22"/>
                <w:vertAlign w:val="superscript"/>
              </w:rPr>
              <w:t>3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 эффективность очистки составила 99,25%, а для его раствора с концентрацией 20 мг/дм</w:t>
            </w:r>
            <w:r w:rsidRPr="005C6FFC">
              <w:rPr>
                <w:rFonts w:ascii="PT Astra Serif" w:hAnsi="PT Astra Serif"/>
                <w:sz w:val="22"/>
                <w:szCs w:val="22"/>
                <w:vertAlign w:val="superscript"/>
              </w:rPr>
              <w:t>3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 – 97,3%. </w:t>
            </w:r>
          </w:p>
          <w:p w:rsidR="00054AB9" w:rsidRDefault="00054AB9" w:rsidP="00A12534">
            <w:pPr>
              <w:pStyle w:val="Default"/>
              <w:ind w:firstLine="397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Pr="00A12534" w:rsidRDefault="00A12534" w:rsidP="00A12534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габбро-диабаз, отходы переработки, очистка сточных вод, сорбционные материалы, утилизация промышленных отходов, метиленовый голубой, эффективность очистки. </w:t>
            </w:r>
          </w:p>
          <w:p w:rsidR="00054AB9" w:rsidRDefault="00054AB9" w:rsidP="00A12534">
            <w:pPr>
              <w:widowControl w:val="0"/>
              <w:ind w:firstLine="397"/>
              <w:jc w:val="right"/>
              <w:rPr>
                <w:rFonts w:ascii="PT Astra Serif" w:hAnsi="PT Astra Serif"/>
                <w:i/>
                <w:iCs/>
              </w:rPr>
            </w:pPr>
          </w:p>
          <w:p w:rsidR="00A12534" w:rsidRPr="00A12534" w:rsidRDefault="00A12534" w:rsidP="00A12534">
            <w:pPr>
              <w:widowControl w:val="0"/>
              <w:ind w:firstLine="397"/>
              <w:jc w:val="right"/>
              <w:rPr>
                <w:rFonts w:ascii="PT Astra Serif" w:eastAsia="Calibri" w:hAnsi="PT Astra Serif" w:cs="Times New Roman"/>
                <w:i/>
                <w:iCs/>
              </w:rPr>
            </w:pPr>
            <w:r w:rsidRPr="00A12534">
              <w:rPr>
                <w:rFonts w:ascii="PT Astra Serif" w:hAnsi="PT Astra Serif"/>
                <w:i/>
                <w:iCs/>
              </w:rPr>
              <w:t>DOI: 10.17217/2079-0333-2018-45-6-11</w:t>
            </w:r>
          </w:p>
          <w:p w:rsidR="00A12534" w:rsidRPr="00A12534" w:rsidRDefault="00A12534" w:rsidP="00A12534">
            <w:pPr>
              <w:ind w:firstLine="397"/>
              <w:rPr>
                <w:rFonts w:ascii="PT Astra Serif" w:hAnsi="PT Astra Serif"/>
              </w:rPr>
            </w:pPr>
          </w:p>
        </w:tc>
      </w:tr>
      <w:tr w:rsidR="00A12534" w:rsidRPr="00A12534" w:rsidTr="00A12534">
        <w:trPr>
          <w:jc w:val="center"/>
        </w:trPr>
        <w:tc>
          <w:tcPr>
            <w:tcW w:w="9571" w:type="dxa"/>
          </w:tcPr>
          <w:p w:rsidR="00A12534" w:rsidRDefault="00A12534" w:rsidP="00054AB9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t xml:space="preserve">УДК 553.411 </w:t>
            </w:r>
          </w:p>
          <w:p w:rsidR="00054AB9" w:rsidRPr="00A12534" w:rsidRDefault="00054AB9" w:rsidP="00054AB9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</w:p>
          <w:p w:rsidR="00A12534" w:rsidRDefault="00A12534" w:rsidP="00054AB9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В.А. Швецов, В.П. Чичева, О.А. Белавина</w:t>
            </w:r>
          </w:p>
          <w:p w:rsidR="00054AB9" w:rsidRPr="00A12534" w:rsidRDefault="00054AB9" w:rsidP="00054AB9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12534" w:rsidRDefault="00A12534" w:rsidP="00054AB9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ОБОСНОВАНИЕ НЕОБХОДИМОСТИ СОВМЕСТНОГО ИСПОЛЬЗОВАНИЯ </w:t>
            </w:r>
            <w:r w:rsidR="00054AB9">
              <w:rPr>
                <w:rFonts w:ascii="PT Astra Serif" w:hAnsi="PT Astra Serif"/>
                <w:b/>
                <w:bCs/>
                <w:sz w:val="22"/>
                <w:szCs w:val="22"/>
              </w:rPr>
              <w:br/>
            </w: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МЕТОДОВ ВАРЬИРОВАНИЯ МАССЫ НАВЕСКИ И СОСТАВА ШИХТЫ </w:t>
            </w:r>
            <w:r w:rsidR="00054AB9">
              <w:rPr>
                <w:rFonts w:ascii="PT Astra Serif" w:hAnsi="PT Astra Serif"/>
                <w:b/>
                <w:bCs/>
                <w:sz w:val="22"/>
                <w:szCs w:val="22"/>
              </w:rPr>
              <w:br/>
            </w: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В РУТИННОМ ПРОБИРНОМ АНАЛИЗЕ</w:t>
            </w:r>
          </w:p>
          <w:p w:rsidR="00054AB9" w:rsidRPr="00A12534" w:rsidRDefault="00054AB9" w:rsidP="00054AB9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12534" w:rsidRPr="00A12534" w:rsidRDefault="00A12534" w:rsidP="00054AB9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t>Основным методом определения золота и серебра в геологоразведочной и золотодобывающей отраслях является пробирный анализ. Согласно нормативным документам окончательный состав шихты для анализа проб горных пород и руд должен подобрать (или рассчитать) аналитик прои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з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водственной лаборатории, используя различные методические приемы. В статье обоснована нео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б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ходимость совместного использования в рутинном пробирном анализе следующих методических приемов: варьирования массы аналитической навески и состава шихты. Этот подход использован авторами в рутинном пробирном анализе руд первого и второго классов. В статье приведены р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зультаты двух активных экспериментов. В первом эксперименте анализировали пробирным мет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дом партию контрольных проб кварцевой золотосодержащей руды первого класса, отобранных на одном из месторождений Камчатского края. Каждую пробу анализировали четыре раза, используя различные шихты. В эксперименте 2 анализировали партию рядовых проб кварц-сульфидной р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у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ды. Каждую пробу анализировали два раза. Первое определение благородных металлов выполн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я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ли, используя аналитическую навеску массой 50 г, материал навесок подвергали окислительному обжигу и смешивали с шихтой. При втором определении золота и серебра использовали навески массой 10 г, шихту, из состава которой исключили восстановитель. Операцию окислительного обжига материала навески также исключили из анализа. Из результатов экспериментов следует: а) совместное варьирование массы навески и состава шихты позволяет выявить основные причины потерь золота и серебра в процессе пробирной плавки навесок кварцевой руды (неправильный в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ы</w:t>
            </w:r>
            <w:r w:rsidRPr="00A12534">
              <w:rPr>
                <w:rFonts w:ascii="PT Astra Serif" w:hAnsi="PT Astra Serif"/>
                <w:sz w:val="22"/>
                <w:szCs w:val="22"/>
              </w:rPr>
              <w:lastRenderedPageBreak/>
              <w:t>бор массы навески и состава шихты); б) в пробирном анализе кварц-сульфидных руд обоснована возможность исключения операции окислительного обжига навески, что повышает экспрессность анализа, производительность труда, снижает расход электроэнергии, улучшает условия труда. В свою очередь улучшение условий труда стимулирует профессиональный рост лаборантов прои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з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водственных лабораторий. </w:t>
            </w:r>
          </w:p>
          <w:p w:rsidR="00054AB9" w:rsidRDefault="00054AB9" w:rsidP="00054AB9">
            <w:pPr>
              <w:pStyle w:val="Default"/>
              <w:ind w:firstLine="397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Pr="00A12534" w:rsidRDefault="00A12534" w:rsidP="00054AB9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пробирный рутинный анализ, состав шихты, метод варьирования массы навески, золотосодержащие руды, потери золота и серебра. </w:t>
            </w:r>
          </w:p>
          <w:p w:rsidR="00054AB9" w:rsidRDefault="00054AB9" w:rsidP="00A12534">
            <w:pPr>
              <w:ind w:firstLine="397"/>
              <w:rPr>
                <w:rFonts w:ascii="PT Astra Serif" w:hAnsi="PT Astra Serif"/>
                <w:i/>
                <w:iCs/>
              </w:rPr>
            </w:pPr>
          </w:p>
          <w:p w:rsidR="00A12534" w:rsidRDefault="00A12534" w:rsidP="00054AB9">
            <w:pPr>
              <w:ind w:firstLine="397"/>
              <w:jc w:val="right"/>
              <w:rPr>
                <w:rFonts w:ascii="PT Astra Serif" w:hAnsi="PT Astra Serif"/>
                <w:i/>
                <w:iCs/>
              </w:rPr>
            </w:pPr>
            <w:r w:rsidRPr="00A12534">
              <w:rPr>
                <w:rFonts w:ascii="PT Astra Serif" w:hAnsi="PT Astra Serif"/>
                <w:i/>
                <w:iCs/>
              </w:rPr>
              <w:t>DOI: 10.17217/2079-0333-2018-45-12-17</w:t>
            </w:r>
          </w:p>
          <w:p w:rsidR="00054AB9" w:rsidRPr="00A12534" w:rsidRDefault="00054AB9" w:rsidP="00054AB9">
            <w:pPr>
              <w:ind w:firstLine="397"/>
              <w:jc w:val="right"/>
              <w:rPr>
                <w:rFonts w:ascii="PT Astra Serif" w:hAnsi="PT Astra Serif"/>
              </w:rPr>
            </w:pPr>
          </w:p>
        </w:tc>
      </w:tr>
      <w:tr w:rsidR="00A12534" w:rsidRPr="00A12534" w:rsidTr="00A12534">
        <w:trPr>
          <w:jc w:val="center"/>
        </w:trPr>
        <w:tc>
          <w:tcPr>
            <w:tcW w:w="9571" w:type="dxa"/>
          </w:tcPr>
          <w:p w:rsidR="00A12534" w:rsidRDefault="00A12534" w:rsidP="00054AB9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УДК 664.953:597.555.51 </w:t>
            </w:r>
          </w:p>
          <w:p w:rsidR="00054AB9" w:rsidRPr="00A12534" w:rsidRDefault="00054AB9" w:rsidP="00054AB9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</w:p>
          <w:p w:rsidR="00A12534" w:rsidRDefault="00A12534" w:rsidP="00054AB9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А.Ю. Глухарев, Л.К. Куранова, В.А. Гроховский, В.И. Волченко</w:t>
            </w:r>
          </w:p>
          <w:p w:rsidR="00054AB9" w:rsidRPr="00A12534" w:rsidRDefault="00054AB9" w:rsidP="00054AB9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12534" w:rsidRDefault="00A12534" w:rsidP="00054AB9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ОПТИМИЗАЦИЯ РЕЦЕПТУРНОГО СОСТАВА КОНСЕРВОВ </w:t>
            </w:r>
            <w:r w:rsidR="00054AB9">
              <w:rPr>
                <w:rFonts w:ascii="PT Astra Serif" w:hAnsi="PT Astra Serif"/>
                <w:b/>
                <w:bCs/>
                <w:sz w:val="22"/>
                <w:szCs w:val="22"/>
              </w:rPr>
              <w:br/>
            </w: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ИЗ МОРОЖЕНЫХ ГОНАД И ЖИРА ПЕЧЕНИ ТРЕСКИ</w:t>
            </w:r>
          </w:p>
          <w:p w:rsidR="00054AB9" w:rsidRPr="00A12534" w:rsidRDefault="00054AB9" w:rsidP="00054AB9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12534" w:rsidRPr="00A12534" w:rsidRDefault="00A12534" w:rsidP="00054AB9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t>Разработан новый ассортимент консервов паштетного ряда из мороженых гонад и полуфабр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и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ката жира печени трески с условным названием «Энергия Заполярья». С использованием теории планирования эксперимента и метода компьютерного моделирования разработана серия рецептур паштетов с разными дозировками основных компонентов. Для оценки степени оптимальности в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ы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браны органолептические характеристики и структурно-механический показатель – число пене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т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рации. Его оптимальное значение определяли методом парной нелинейной регрессии между ним и показателем консистенции. Разработан обобщенный параметр оптимизации с использованием к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эффициентов значимости, определенных экспериментальным путем. Полученное уравнение ре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г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рессии позволило найти оптимальное соотношение основных компонентов (% от массы рыбного сырья): икра трески – 39,86%, полуфабрикат жира печени трески – 19,50%, молоки трески – 40,64%. На его основе оптимизирована рецептура паштетных консервов. Разработан режим стер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и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лизации консервов для банки № 2, фактическая летальность для микроорганизмов составила 6,6 усл. мин. Консервы «Энергия Заполярья» по содержанию полиненасыщенных жирных кислот м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гут быть отнесены к функциональным продуктам высокой энергетической ценности. </w:t>
            </w:r>
          </w:p>
          <w:p w:rsidR="00054AB9" w:rsidRDefault="00054AB9" w:rsidP="00054AB9">
            <w:pPr>
              <w:pStyle w:val="Default"/>
              <w:ind w:firstLine="397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Pr="00A12534" w:rsidRDefault="00A12534" w:rsidP="00054AB9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консервы, оптимизация, паштет, гонады, икра, молоки, полуфабрикат жира печени трески, число пенетрации, режим стерилизации, функциональный продукт. </w:t>
            </w:r>
          </w:p>
          <w:p w:rsidR="00054AB9" w:rsidRDefault="00054AB9" w:rsidP="00A12534">
            <w:pPr>
              <w:ind w:firstLine="397"/>
              <w:rPr>
                <w:rFonts w:ascii="PT Astra Serif" w:hAnsi="PT Astra Serif"/>
                <w:i/>
                <w:iCs/>
              </w:rPr>
            </w:pPr>
          </w:p>
          <w:p w:rsidR="00A12534" w:rsidRDefault="00A12534" w:rsidP="00054AB9">
            <w:pPr>
              <w:ind w:firstLine="397"/>
              <w:jc w:val="right"/>
              <w:rPr>
                <w:rFonts w:ascii="PT Astra Serif" w:hAnsi="PT Astra Serif"/>
                <w:i/>
                <w:iCs/>
              </w:rPr>
            </w:pPr>
            <w:r w:rsidRPr="00A12534">
              <w:rPr>
                <w:rFonts w:ascii="PT Astra Serif" w:hAnsi="PT Astra Serif"/>
                <w:i/>
                <w:iCs/>
              </w:rPr>
              <w:t>DOI: 10.17217/2079-0333-2018-45-18-27</w:t>
            </w:r>
          </w:p>
          <w:p w:rsidR="00054AB9" w:rsidRPr="00A12534" w:rsidRDefault="00054AB9" w:rsidP="00A12534">
            <w:pPr>
              <w:ind w:firstLine="397"/>
              <w:rPr>
                <w:rFonts w:ascii="PT Astra Serif" w:hAnsi="PT Astra Serif"/>
              </w:rPr>
            </w:pPr>
          </w:p>
        </w:tc>
      </w:tr>
      <w:tr w:rsidR="00A12534" w:rsidRPr="00A12534" w:rsidTr="00A12534">
        <w:trPr>
          <w:jc w:val="center"/>
        </w:trPr>
        <w:tc>
          <w:tcPr>
            <w:tcW w:w="9571" w:type="dxa"/>
          </w:tcPr>
          <w:p w:rsidR="00A12534" w:rsidRPr="00A12534" w:rsidRDefault="00A12534" w:rsidP="00054AB9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t xml:space="preserve">УДК 664.959.5:597.555.51 </w:t>
            </w:r>
          </w:p>
          <w:p w:rsidR="00054AB9" w:rsidRDefault="00054AB9" w:rsidP="00054AB9">
            <w:pPr>
              <w:pStyle w:val="Default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Default="00A12534" w:rsidP="00054AB9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Ю.В. Живлянцева, Л.К. Куранова, В.И. Волченко, В.А. Гроховский</w:t>
            </w:r>
          </w:p>
          <w:p w:rsidR="00054AB9" w:rsidRPr="00A12534" w:rsidRDefault="00054AB9" w:rsidP="00054AB9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12534" w:rsidRDefault="00A12534" w:rsidP="00054AB9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ПЕПТОН ИЗ ВТОРИЧНЫХ ПРОДУКТОВ ПЕРЕРАБОТКИ </w:t>
            </w:r>
            <w:r w:rsidR="00054AB9">
              <w:rPr>
                <w:rFonts w:ascii="PT Astra Serif" w:hAnsi="PT Astra Serif"/>
                <w:b/>
                <w:bCs/>
                <w:sz w:val="22"/>
                <w:szCs w:val="22"/>
              </w:rPr>
              <w:br/>
            </w: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АТЛАНТИЧЕСКОЙ ТРЕСКИ: ТЕХНОЛОГИЯ, КАЧЕСТВО, ИСПОЛЬЗОВАНИЕ</w:t>
            </w:r>
          </w:p>
          <w:p w:rsidR="00054AB9" w:rsidRPr="00A12534" w:rsidRDefault="00054AB9" w:rsidP="00054AB9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</w:p>
          <w:p w:rsidR="00A12534" w:rsidRPr="00A12534" w:rsidRDefault="00A12534" w:rsidP="00054AB9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t>Результатами микробиологических и токсикологических испытаний определена безопасность отходов от разделки на филе трески. Костно-мышечные отходы трески содержат 18,95% полн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ценного белка животного происхождения и 0,15% жира, что доказывает целесообразность их и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с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пользования для выработки пептонов. Разработана и оптимизирована технология получения пе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п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тона из отходов от разделки на филе трески. На стадии измельчения отходов авторами статьи предложен метод криоэкструзии. Обосновано использование при гидролизе протеинов фермен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т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ного препарата (протосубтилина Г3Х). Определена его протеолитическая активность, составившая 560,77 мкмоль TYR/г, оптимальная температура ферментативного гидролиза, равная (45 ± 1)ºС. С применением теории планирования эксперимента и компьютерного моделирования выполнена серия экспериментов по оптимизации стадии ферментативного гидролиза рыбных отходов. На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й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дены близкие к оптимальным концентрация ферментного препарата (1,33% к суммарной массе отходов) и продолжительность процесса гидролиза (3 ч). Определены химические и биохимич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е</w:t>
            </w:r>
            <w:r w:rsidRPr="00A12534">
              <w:rPr>
                <w:rFonts w:ascii="PT Astra Serif" w:hAnsi="PT Astra Serif"/>
                <w:sz w:val="22"/>
                <w:szCs w:val="22"/>
              </w:rPr>
              <w:lastRenderedPageBreak/>
              <w:t>ские показатели качества пептона, выработанного по оптимизированной технологии. Установлено, что массовая доля белка в полученном образце составляет 92,27%, воды – 4,7%, хлористого натрия – 2,6%, жира – 0,3%. Определен аминокислотный состав полученного продукта, рассчитана его биологическая ценность. Отмечено, что в белке пептона лимитирующей аминокислотой является триптофан, скор которого составляет 66,8%, коэффициент рациональности продукта – 0,42. Это характеризует его как сбалансированный белковый продукт, который может быть рекомендован для применения в качестве полноценной белковой основы для производства продуктов спортивн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го питания. </w:t>
            </w:r>
          </w:p>
          <w:p w:rsidR="00054AB9" w:rsidRDefault="00054AB9" w:rsidP="00054AB9">
            <w:pPr>
              <w:pStyle w:val="Default"/>
              <w:ind w:firstLine="397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Pr="00A12534" w:rsidRDefault="00A12534" w:rsidP="00054AB9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протосубтилин, ферментативный пептон, аминокислотный состав, трипт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фан, сбалансированный белковый продукт, костно-мышечные отходы трески. </w:t>
            </w:r>
          </w:p>
          <w:p w:rsidR="00054AB9" w:rsidRDefault="00054AB9" w:rsidP="00A12534">
            <w:pPr>
              <w:pStyle w:val="Default"/>
              <w:ind w:firstLine="397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Default="00A12534" w:rsidP="00054AB9">
            <w:pPr>
              <w:ind w:firstLine="397"/>
              <w:jc w:val="right"/>
              <w:rPr>
                <w:rFonts w:ascii="PT Astra Serif" w:hAnsi="PT Astra Serif"/>
                <w:i/>
                <w:iCs/>
              </w:rPr>
            </w:pPr>
            <w:r w:rsidRPr="00A12534">
              <w:rPr>
                <w:rFonts w:ascii="PT Astra Serif" w:hAnsi="PT Astra Serif"/>
                <w:i/>
                <w:iCs/>
              </w:rPr>
              <w:t>DOI: 10.17217/2079-0333-2018-45-28-36</w:t>
            </w:r>
          </w:p>
          <w:p w:rsidR="00054AB9" w:rsidRPr="00A12534" w:rsidRDefault="00054AB9" w:rsidP="00054AB9">
            <w:pPr>
              <w:ind w:firstLine="397"/>
              <w:jc w:val="right"/>
              <w:rPr>
                <w:rFonts w:ascii="PT Astra Serif" w:hAnsi="PT Astra Serif"/>
              </w:rPr>
            </w:pPr>
          </w:p>
        </w:tc>
      </w:tr>
      <w:tr w:rsidR="00A12534" w:rsidRPr="00A12534" w:rsidTr="00A12534">
        <w:trPr>
          <w:jc w:val="center"/>
        </w:trPr>
        <w:tc>
          <w:tcPr>
            <w:tcW w:w="9571" w:type="dxa"/>
          </w:tcPr>
          <w:p w:rsidR="00A12534" w:rsidRPr="00A12534" w:rsidRDefault="00A12534" w:rsidP="00054AB9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УДК 664.952/.957 </w:t>
            </w:r>
          </w:p>
          <w:p w:rsidR="00054AB9" w:rsidRDefault="00054AB9" w:rsidP="00054AB9">
            <w:pPr>
              <w:pStyle w:val="Default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Default="00A12534" w:rsidP="00054AB9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С.В. Журавлева, Т.М. Бойцова, Ж.Г. Прокопец, А.В. Журавлева</w:t>
            </w:r>
          </w:p>
          <w:p w:rsidR="00054AB9" w:rsidRPr="00A12534" w:rsidRDefault="00054AB9" w:rsidP="00054AB9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12534" w:rsidRDefault="00A12534" w:rsidP="00054AB9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ВЛИЯНИЕ БИОМОДИФИКАЦИИ </w:t>
            </w:r>
            <w:r w:rsidR="00054AB9">
              <w:rPr>
                <w:rFonts w:ascii="PT Astra Serif" w:hAnsi="PT Astra Serif"/>
                <w:b/>
                <w:bCs/>
                <w:sz w:val="22"/>
                <w:szCs w:val="22"/>
              </w:rPr>
              <w:br/>
            </w: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НА ОРГАНОЛЕПТИЧЕСКИЕ ПОКАЗАТЕЛИ МЫШЕЧНОЙ ТКАНИ РЫБ</w:t>
            </w:r>
          </w:p>
          <w:p w:rsidR="00054AB9" w:rsidRPr="00A12534" w:rsidRDefault="00054AB9" w:rsidP="00054AB9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</w:p>
          <w:p w:rsidR="00A12534" w:rsidRPr="00A12534" w:rsidRDefault="00A12534" w:rsidP="00054AB9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t xml:space="preserve">Изучено влияние </w:t>
            </w:r>
            <w:r w:rsidRPr="00A12534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Lbm. acidophilum, Bifidobacterium longum, Streptococcus salivarius spp. thermophilus 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на органолептические характеристики соленой мышечной ткани рыб с различной а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к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тивностью ферментных систем. Установлено положительное влияние биомодификации на орган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лептические характеристики мышечной ткани гидробионтов при использовании таких микроорг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а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низмов, как </w:t>
            </w:r>
            <w:r w:rsidRPr="00A12534">
              <w:rPr>
                <w:rFonts w:ascii="PT Astra Serif" w:hAnsi="PT Astra Serif"/>
                <w:i/>
                <w:iCs/>
                <w:sz w:val="22"/>
                <w:szCs w:val="22"/>
              </w:rPr>
              <w:t>Lbm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r w:rsidRPr="00A12534">
              <w:rPr>
                <w:rFonts w:ascii="PT Astra Serif" w:hAnsi="PT Astra Serif"/>
                <w:i/>
                <w:iCs/>
                <w:sz w:val="22"/>
                <w:szCs w:val="22"/>
              </w:rPr>
              <w:t>acidophilum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Pr="00A12534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Streptococcus salivarius spp. thermophilus. 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Указано, что для биомодификации целесообразно использовать виды рыб с низкой активностью собственных фе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р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ментных систем. Отмечен дезодорирующий эффект биомодификации мышечной ткани минтая молочнокислыми микроорганизмами. Указано, что биомодификация молочнокислыми микроо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р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ганизмами мышечной ткани рыб с высокой активностью собственных ферментных систем, а та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к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же использование в качестве биомодификаторов процесса созревания </w:t>
            </w:r>
            <w:r w:rsidRPr="00A12534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B. longum 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является нецел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сообразным. </w:t>
            </w:r>
          </w:p>
          <w:p w:rsidR="00054AB9" w:rsidRDefault="00054AB9" w:rsidP="00054AB9">
            <w:pPr>
              <w:pStyle w:val="Default"/>
              <w:ind w:firstLine="397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Pr="00A12534" w:rsidRDefault="00A12534" w:rsidP="00054AB9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биомодификация, </w:t>
            </w:r>
            <w:r w:rsidRPr="00A12534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Lbm. acidophilum, Bifidobacterium longum, Streptococcus salivarius spp. thermophilus, 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мышечная ткань рыб, молочная сыворотка. </w:t>
            </w:r>
          </w:p>
          <w:p w:rsidR="00054AB9" w:rsidRDefault="00054AB9" w:rsidP="00A12534">
            <w:pPr>
              <w:pStyle w:val="Default"/>
              <w:ind w:firstLine="397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Default="00A12534" w:rsidP="00054AB9">
            <w:pPr>
              <w:ind w:firstLine="397"/>
              <w:jc w:val="right"/>
              <w:rPr>
                <w:rFonts w:ascii="PT Astra Serif" w:hAnsi="PT Astra Serif"/>
                <w:i/>
                <w:iCs/>
              </w:rPr>
            </w:pPr>
            <w:r w:rsidRPr="00A12534">
              <w:rPr>
                <w:rFonts w:ascii="PT Astra Serif" w:hAnsi="PT Astra Serif"/>
                <w:i/>
                <w:iCs/>
              </w:rPr>
              <w:t>DOI: 10.17217/2079-0333-2018-45-37-42</w:t>
            </w:r>
          </w:p>
          <w:p w:rsidR="00054AB9" w:rsidRPr="00A12534" w:rsidRDefault="00054AB9" w:rsidP="00054AB9">
            <w:pPr>
              <w:ind w:firstLine="397"/>
              <w:jc w:val="right"/>
              <w:rPr>
                <w:rFonts w:ascii="PT Astra Serif" w:hAnsi="PT Astra Serif"/>
              </w:rPr>
            </w:pPr>
          </w:p>
        </w:tc>
      </w:tr>
      <w:tr w:rsidR="00A12534" w:rsidRPr="00A12534" w:rsidTr="00A12534">
        <w:trPr>
          <w:jc w:val="center"/>
        </w:trPr>
        <w:tc>
          <w:tcPr>
            <w:tcW w:w="9571" w:type="dxa"/>
          </w:tcPr>
          <w:p w:rsidR="00A12534" w:rsidRDefault="00A12534" w:rsidP="00C8282B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t xml:space="preserve">УДК 664.143 </w:t>
            </w:r>
          </w:p>
          <w:p w:rsidR="00C8282B" w:rsidRPr="00A12534" w:rsidRDefault="00C8282B" w:rsidP="00C8282B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</w:p>
          <w:p w:rsidR="00A12534" w:rsidRDefault="00A12534" w:rsidP="00C8282B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Л.А. Надточий, А.И. Лепешкин, Е.Д. Дудник, </w:t>
            </w:r>
            <w:r w:rsidR="00C8282B">
              <w:rPr>
                <w:rFonts w:ascii="PT Astra Serif" w:hAnsi="PT Astra Serif"/>
                <w:b/>
                <w:bCs/>
                <w:sz w:val="22"/>
                <w:szCs w:val="22"/>
              </w:rPr>
              <w:br/>
            </w: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А.В. Проскура, М.Б. Мурадова, Р.М. Мельчаков</w:t>
            </w:r>
          </w:p>
          <w:p w:rsidR="00C8282B" w:rsidRPr="00A12534" w:rsidRDefault="00C8282B" w:rsidP="00C8282B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12534" w:rsidRDefault="00A12534" w:rsidP="00C8282B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ВЛИЯНИЕ ТЕМПЕРАТУРНОГО РЕЖИМА НА ВЯЗКОСТНЫЕ СВОЙСТВА ГЛАЗУРИ</w:t>
            </w:r>
          </w:p>
          <w:p w:rsidR="00C8282B" w:rsidRPr="00A12534" w:rsidRDefault="00C8282B" w:rsidP="00C8282B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12534" w:rsidRPr="00A12534" w:rsidRDefault="00A12534" w:rsidP="00C8282B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t>На различных этапах технологического процесса производства пищевой продукции важно учитывать реологические свойства пищевых систем, так как данные показатели оказывают сущ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ственное влияние на качество готового продукта. В настоящей работе проведены исследования влияния температуры плавления на структурно-механические свойства глазури для кондитерских изделий с использованием ротационного вискозиметра марки RHEOTEST. Объектом данного и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с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следования служила пищевая глазурь, разработанная в качестве покрытия батончиков-мюсли. И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з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меняющимся входящим параметром эксперимента выбрана температура плавления глазури, на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и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более часто используемая в кондитерской промышленности, в частности 85, 90 и 95ºС. Оценива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мым параметром эксперимента была эффективная вязкость глазури при различном мех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а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ническом воздействии на объект исследования со скоростью сдвига от 1 до 102 с</w:t>
            </w:r>
            <w:r w:rsidRPr="00C8282B">
              <w:rPr>
                <w:rFonts w:ascii="PT Astra Serif" w:hAnsi="PT Astra Serif"/>
                <w:sz w:val="22"/>
                <w:szCs w:val="22"/>
                <w:vertAlign w:val="superscript"/>
              </w:rPr>
              <w:t>–1</w:t>
            </w:r>
            <w:r w:rsidRPr="00A12534">
              <w:rPr>
                <w:rFonts w:ascii="PT Astra Serif" w:hAnsi="PT Astra Serif"/>
                <w:sz w:val="22"/>
                <w:szCs w:val="22"/>
              </w:rPr>
              <w:t>. С целью изучения тикс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тропных свойств образцов глазури оценивали способность к восстанавливаемости структуры п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сле механического воздействия по истечении 15 минут в состоянии покоя, после чего </w:t>
            </w:r>
            <w:r w:rsidRPr="00A12534">
              <w:rPr>
                <w:rFonts w:ascii="PT Astra Serif" w:hAnsi="PT Astra Serif"/>
                <w:sz w:val="22"/>
                <w:szCs w:val="22"/>
              </w:rPr>
              <w:lastRenderedPageBreak/>
              <w:t>измеряли эффективную вязкость образцов глазури в обратном порядке (со скоростью сдвига от 102 до 1 с</w:t>
            </w:r>
            <w:r w:rsidRPr="00C8282B">
              <w:rPr>
                <w:rFonts w:ascii="PT Astra Serif" w:hAnsi="PT Astra Serif"/>
                <w:sz w:val="22"/>
                <w:szCs w:val="22"/>
                <w:vertAlign w:val="superscript"/>
              </w:rPr>
              <w:t>–1</w:t>
            </w:r>
            <w:r w:rsidRPr="00A12534">
              <w:rPr>
                <w:rFonts w:ascii="PT Astra Serif" w:hAnsi="PT Astra Serif"/>
                <w:sz w:val="22"/>
                <w:szCs w:val="22"/>
              </w:rPr>
              <w:t>). В результате данного исследования доказано влияние температурного режима на э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ф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фективную вязкость глазури: при 85ºС глазурь не затвердевает из-за максимального значения к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эффициента вязкости, данная температура является оптимальной по показателю степени восст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а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навливаемости исследуемого продукта; при 90ºС зависимость эффективной вязкости от скорости сдвига была н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и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же на 5% по сравнению с образцом при 85ºС; при 95ºС продукт показал самые ни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з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кие значения коэффициента эффективной вязкости. Образец глазури, выработанный при рекомендуемой темп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ратуре плавления (85ºС), был проанализирован с точки зрения консистенции готов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го продукта с помощью автоматического цифрового пенетрометра, что позволило охарактеризовать глазурь как слишком твердый объект с ограниченной возможностью к растек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а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нию. </w:t>
            </w:r>
          </w:p>
          <w:p w:rsidR="00C8282B" w:rsidRDefault="00C8282B" w:rsidP="00C8282B">
            <w:pPr>
              <w:pStyle w:val="Default"/>
              <w:ind w:firstLine="397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Pr="00A12534" w:rsidRDefault="00A12534" w:rsidP="00C8282B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глазурь, реологические свойства, эффективная вязкость, тиксотропные свойства, скорость сдвига, температура плавления, пенетрация, консистенция. </w:t>
            </w:r>
          </w:p>
          <w:p w:rsidR="00C8282B" w:rsidRDefault="00C8282B" w:rsidP="00A12534">
            <w:pPr>
              <w:pStyle w:val="Default"/>
              <w:ind w:firstLine="397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Pr="00A12534" w:rsidRDefault="00A12534" w:rsidP="00C8282B">
            <w:pPr>
              <w:ind w:firstLine="397"/>
              <w:jc w:val="right"/>
              <w:rPr>
                <w:rFonts w:ascii="PT Astra Serif" w:hAnsi="PT Astra Serif"/>
              </w:rPr>
            </w:pPr>
            <w:r w:rsidRPr="00A12534">
              <w:rPr>
                <w:rFonts w:ascii="PT Astra Serif" w:hAnsi="PT Astra Serif"/>
                <w:i/>
                <w:iCs/>
              </w:rPr>
              <w:t>DOI: 10.17217/2079-0333-2018-45-43-49</w:t>
            </w:r>
          </w:p>
        </w:tc>
      </w:tr>
      <w:tr w:rsidR="00A12534" w:rsidRPr="00A12534" w:rsidTr="00A12534">
        <w:trPr>
          <w:jc w:val="center"/>
        </w:trPr>
        <w:tc>
          <w:tcPr>
            <w:tcW w:w="9571" w:type="dxa"/>
          </w:tcPr>
          <w:p w:rsidR="00A12534" w:rsidRPr="00A12534" w:rsidRDefault="00A12534" w:rsidP="00C8282B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УДК 634.5:637.514 </w:t>
            </w:r>
          </w:p>
          <w:p w:rsidR="00C8282B" w:rsidRDefault="00C8282B" w:rsidP="00C8282B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Default="00A12534" w:rsidP="00C8282B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Н.Л. Наумова, A.В. Бучель, А.А. Лукин, И.Ю. Мигуля</w:t>
            </w:r>
          </w:p>
          <w:p w:rsidR="00C8282B" w:rsidRPr="00A12534" w:rsidRDefault="00C8282B" w:rsidP="00C8282B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8282B" w:rsidRDefault="00A12534" w:rsidP="00C8282B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РЕЗУЛЬТАТЫ ИССЛЕДОВАНИЙ ПРИМЕНЕНИЯ ЖМЫХА ЯДЕР КЕДРОВОГО ОРЕХА</w:t>
            </w:r>
          </w:p>
          <w:p w:rsidR="00A12534" w:rsidRDefault="00A12534" w:rsidP="00C8282B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В РЕЦЕПТУРЕ ПЕЧЕНОЧНОГО ПАШТЕТА</w:t>
            </w:r>
          </w:p>
          <w:p w:rsidR="00C8282B" w:rsidRPr="00A12534" w:rsidRDefault="00C8282B" w:rsidP="00C8282B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12534" w:rsidRPr="00A12534" w:rsidRDefault="00A12534" w:rsidP="00C8282B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t>В работе изучена возможность использования жмыха ядер кедрового ореха в приготовлении печеночного паштета. Замещение в печеночном паштете 10,0% говяжьей печени на аналогичное количество молотого жмыха ядер кедрового ореха способствует формированию слегка сладков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а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того вкуса и более нежной консистенции готового продукта; увеличению содержания белка (на 14,9%), зольности (на 11,6%), минералов – марганца (в 4 раза), магния (в 2,5 раза), фосфора (в 1,6 раза), кальция и меди (в 1,4 раза), цинка (на 15,5%), железа (на 7,4%); снижению содержания в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и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тамина А на 27,5% при стабильных количествах витаминов Е и D</w:t>
            </w:r>
            <w:r w:rsidRPr="005C6FFC">
              <w:rPr>
                <w:rFonts w:ascii="PT Astra Serif" w:hAnsi="PT Astra Serif"/>
                <w:sz w:val="22"/>
                <w:szCs w:val="22"/>
                <w:vertAlign w:val="subscript"/>
              </w:rPr>
              <w:t>3</w:t>
            </w:r>
            <w:r w:rsidRPr="00A12534">
              <w:rPr>
                <w:rFonts w:ascii="PT Astra Serif" w:hAnsi="PT Astra Serif"/>
                <w:sz w:val="22"/>
                <w:szCs w:val="22"/>
              </w:rPr>
              <w:t>. Добавление жмыха в рецепт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у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ру печеночного паштета в предлагаемой дозировке не оказывает негативного влияния на физико-химические и микробиологические показатели качества готового продукта. Впервые установлена практическая возможность применения молотого жмыха ядер кедрового ореха в количестве 10,0% в производстве печеночного паштета повышенной минеральной ценности. </w:t>
            </w:r>
          </w:p>
          <w:p w:rsidR="00C8282B" w:rsidRDefault="00C8282B" w:rsidP="00C8282B">
            <w:pPr>
              <w:pStyle w:val="Default"/>
              <w:ind w:firstLine="397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Pr="00A12534" w:rsidRDefault="00A12534" w:rsidP="00C8282B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печеночный паштет, жмых ядер кедрового ореха, минеральная ценность. </w:t>
            </w:r>
          </w:p>
          <w:p w:rsidR="00C8282B" w:rsidRDefault="00C8282B" w:rsidP="00A12534">
            <w:pPr>
              <w:ind w:firstLine="397"/>
              <w:rPr>
                <w:rFonts w:ascii="PT Astra Serif" w:hAnsi="PT Astra Serif"/>
                <w:i/>
                <w:iCs/>
              </w:rPr>
            </w:pPr>
          </w:p>
          <w:p w:rsidR="00A12534" w:rsidRDefault="00A12534" w:rsidP="00C8282B">
            <w:pPr>
              <w:ind w:firstLine="397"/>
              <w:jc w:val="right"/>
              <w:rPr>
                <w:rFonts w:ascii="PT Astra Serif" w:hAnsi="PT Astra Serif"/>
                <w:i/>
                <w:iCs/>
              </w:rPr>
            </w:pPr>
            <w:r w:rsidRPr="00A12534">
              <w:rPr>
                <w:rFonts w:ascii="PT Astra Serif" w:hAnsi="PT Astra Serif"/>
                <w:i/>
                <w:iCs/>
              </w:rPr>
              <w:t>DOI: 10.17217/2079-0333-2018-45-50-57</w:t>
            </w:r>
          </w:p>
          <w:p w:rsidR="00C8282B" w:rsidRPr="00A12534" w:rsidRDefault="00C8282B" w:rsidP="00C8282B">
            <w:pPr>
              <w:ind w:firstLine="397"/>
              <w:jc w:val="right"/>
              <w:rPr>
                <w:rFonts w:ascii="PT Astra Serif" w:hAnsi="PT Astra Serif"/>
              </w:rPr>
            </w:pPr>
          </w:p>
        </w:tc>
      </w:tr>
      <w:tr w:rsidR="00A12534" w:rsidRPr="00A12534" w:rsidTr="00A12534">
        <w:trPr>
          <w:jc w:val="center"/>
        </w:trPr>
        <w:tc>
          <w:tcPr>
            <w:tcW w:w="9571" w:type="dxa"/>
          </w:tcPr>
          <w:p w:rsidR="00A12534" w:rsidRPr="00A12534" w:rsidRDefault="00A12534" w:rsidP="00C8282B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t xml:space="preserve">УДК 664.858 </w:t>
            </w:r>
          </w:p>
          <w:p w:rsidR="00C8282B" w:rsidRDefault="00C8282B" w:rsidP="00C8282B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Default="00A12534" w:rsidP="00C8282B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Н.А. Фролова</w:t>
            </w:r>
          </w:p>
          <w:p w:rsidR="00C8282B" w:rsidRPr="00A12534" w:rsidRDefault="00C8282B" w:rsidP="00C8282B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8282B" w:rsidRDefault="00A12534" w:rsidP="00C8282B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ОПТИМИЗАЦИЯ РЕЦЕПТУРНОГО СОСТАВА МАРМЕЛАДА </w:t>
            </w:r>
          </w:p>
          <w:p w:rsidR="00A12534" w:rsidRDefault="00A12534" w:rsidP="00C8282B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ЗА СЧЕТ ВВЕДЕНИЯ ПЛОДОВО-ЯГОДНОГО СЫРЬЯ АМУРСКОЙ ОБЛАСТИ</w:t>
            </w:r>
          </w:p>
          <w:p w:rsidR="00C8282B" w:rsidRPr="00A12534" w:rsidRDefault="00C8282B" w:rsidP="00C8282B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12534" w:rsidRPr="00A12534" w:rsidRDefault="00A12534" w:rsidP="00C8282B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t>Предложена схема комплексной переработки ягод, произрастающих на территории Амурской области (смородины, голубики и брусники), включающая извлечение сока и получение фитоп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рошков из жома, оставшегося после извлечения сока с целью комплексной переработки отходов и дополнительного обогащения мармелада биологически ценными ингредиентами, содержащимися в жоме (фитопорошке). Предложена технология изготовления мармелада повышенной биологич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ской ценности за счет использования соков и фитопорошка ягод смородины, голубики и брусники при полном исключении из рецептуры синтетических добавок. Для снижения калорийности изд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лий сахар-песок был заменен кленовым сиропом. Определено оптимальное соотношение ввод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и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мых в мармелад соков и фитопорошка, взятых в равных соотношениях. Оно составило 2:2 к общей массе рецептурных компонентов. Приведены результаты изучения биологической и энергетич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ской ценности готовых изделий. Обсуждаются данные по органолептическим и физико-</w:t>
            </w:r>
            <w:r w:rsidRPr="00A12534">
              <w:rPr>
                <w:rFonts w:ascii="PT Astra Serif" w:hAnsi="PT Astra Serif"/>
                <w:sz w:val="22"/>
                <w:szCs w:val="22"/>
              </w:rPr>
              <w:lastRenderedPageBreak/>
              <w:t>химическим показателям мармелада. Установлен срок годности мармелада. Он составил два мес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я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ца. </w:t>
            </w:r>
          </w:p>
          <w:p w:rsidR="00C8282B" w:rsidRDefault="00C8282B" w:rsidP="00C8282B">
            <w:pPr>
              <w:pStyle w:val="Default"/>
              <w:ind w:firstLine="397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Default="00A12534" w:rsidP="00C8282B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мармелад, биологическая ценность, ягоды, смородина, голубика, брусника, сок, фитопорошок. </w:t>
            </w:r>
          </w:p>
          <w:p w:rsidR="00C8282B" w:rsidRPr="00A12534" w:rsidRDefault="00C8282B" w:rsidP="00C8282B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A12534" w:rsidRDefault="00A12534" w:rsidP="00C8282B">
            <w:pPr>
              <w:ind w:firstLine="397"/>
              <w:jc w:val="right"/>
              <w:rPr>
                <w:rFonts w:ascii="PT Astra Serif" w:hAnsi="PT Astra Serif"/>
                <w:i/>
                <w:iCs/>
              </w:rPr>
            </w:pPr>
            <w:r w:rsidRPr="00A12534">
              <w:rPr>
                <w:rFonts w:ascii="PT Astra Serif" w:hAnsi="PT Astra Serif"/>
                <w:i/>
                <w:iCs/>
              </w:rPr>
              <w:t>DOI: 10.17217/2079-0333-2018-45-58-65</w:t>
            </w:r>
          </w:p>
          <w:p w:rsidR="00C8282B" w:rsidRPr="00A12534" w:rsidRDefault="00C8282B" w:rsidP="00C8282B">
            <w:pPr>
              <w:ind w:firstLine="397"/>
              <w:jc w:val="right"/>
              <w:rPr>
                <w:rFonts w:ascii="PT Astra Serif" w:hAnsi="PT Astra Serif"/>
              </w:rPr>
            </w:pPr>
          </w:p>
        </w:tc>
      </w:tr>
      <w:tr w:rsidR="00A12534" w:rsidRPr="00A12534" w:rsidTr="00A12534">
        <w:trPr>
          <w:jc w:val="center"/>
        </w:trPr>
        <w:tc>
          <w:tcPr>
            <w:tcW w:w="9571" w:type="dxa"/>
          </w:tcPr>
          <w:p w:rsidR="00A12534" w:rsidRPr="00A12534" w:rsidRDefault="00A12534" w:rsidP="00C8282B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УДК 664.91/.94 </w:t>
            </w:r>
          </w:p>
          <w:p w:rsidR="00C8282B" w:rsidRDefault="00C8282B" w:rsidP="00C8282B">
            <w:pPr>
              <w:pStyle w:val="Default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Default="00A12534" w:rsidP="00C8282B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Ю.П. Шульгин, Ю.И. Приходько, Р.Ю. Шульгин, Т.Ю. Шкарина</w:t>
            </w:r>
          </w:p>
          <w:p w:rsidR="00C8282B" w:rsidRPr="00A12534" w:rsidRDefault="00C8282B" w:rsidP="00C8282B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12534" w:rsidRPr="00A12534" w:rsidRDefault="00A12534" w:rsidP="00C8282B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КАЧЕСТВО И БИОЛОГИЧЕСКАЯ ЦЕННОСТЬ КОНСЕРВОВ</w:t>
            </w:r>
          </w:p>
          <w:p w:rsidR="00A12534" w:rsidRDefault="00A12534" w:rsidP="00C8282B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НА ОСНОВЕ НЕТРАДИЦИОННОГО МЯСНОГО СЫРЬЯ</w:t>
            </w:r>
          </w:p>
          <w:p w:rsidR="00C8282B" w:rsidRPr="00A12534" w:rsidRDefault="00C8282B" w:rsidP="00C8282B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</w:p>
          <w:p w:rsidR="00A12534" w:rsidRPr="00A12534" w:rsidRDefault="00A12534" w:rsidP="00C8282B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t>Разработан ассортимент новых консервов на основе мяса кенгуру и дополнительных комп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нентов, обладающих пониженной энергетической ценностью. Проведена оценка их качества и биологической ценности. Содержание мяса кенгуру в составе натуральных консервов составляло 90,0%, в мясорастительных – 45,0%. В состав мясорастительных продуктов входят овощи и вар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но-мороженая кукумария японская как дополнительный источник коллагена. Готовые консервы на основе мяса кенгуру отличались от продуктов с говядиной низким содержанием жира и пониже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н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ной энергетической ценностью. Они не содержали застывшего жира. В натуральных консервах на основе мяса кенгуру содержание белков составляло 20,0–21,0%, животного жира – 2,1–2,5%; в комбинированных консервах – 16,6–17,6% и 1,6–1,9%. Консервы на основе мяса кенгуру пре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д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ставляют собой дополнительный источник железа, цинка, тиамина, рибофлавина и коллагенобр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а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зующей аминокислоты пролина. Содержание этих нутриентов в 100 г продуктов позволяет удо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в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летворить суточную потребность взрослого человека в них на 15% и более. Консервы могут быть рекомендованы в качестве продуктов массового потребления, а также для коррекции базисных и специализированных диет. </w:t>
            </w:r>
          </w:p>
          <w:p w:rsidR="00C8282B" w:rsidRDefault="00C8282B" w:rsidP="00C8282B">
            <w:pPr>
              <w:pStyle w:val="Default"/>
              <w:ind w:firstLine="397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Default="00A12534" w:rsidP="00C8282B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мясо кенгуру, консервы, состав, белки, жир, пролин, минеральные вещес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т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ва, витамины. </w:t>
            </w:r>
          </w:p>
          <w:p w:rsidR="00C8282B" w:rsidRPr="00A12534" w:rsidRDefault="00C8282B" w:rsidP="00A12534">
            <w:pPr>
              <w:pStyle w:val="Default"/>
              <w:ind w:firstLine="397"/>
              <w:rPr>
                <w:rFonts w:ascii="PT Astra Serif" w:hAnsi="PT Astra Serif"/>
                <w:sz w:val="22"/>
                <w:szCs w:val="22"/>
              </w:rPr>
            </w:pPr>
          </w:p>
          <w:p w:rsidR="00A12534" w:rsidRDefault="00A12534" w:rsidP="00C8282B">
            <w:pPr>
              <w:pStyle w:val="Default"/>
              <w:ind w:firstLine="397"/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A12534">
              <w:rPr>
                <w:rFonts w:ascii="PT Astra Serif" w:hAnsi="PT Astra Serif"/>
                <w:i/>
                <w:iCs/>
                <w:sz w:val="22"/>
                <w:szCs w:val="22"/>
              </w:rPr>
              <w:t>DOI: 10.17217/2079-0333-2018-45-66-72</w:t>
            </w:r>
          </w:p>
          <w:p w:rsidR="00C8282B" w:rsidRPr="00A12534" w:rsidRDefault="00C8282B" w:rsidP="00C8282B">
            <w:pPr>
              <w:pStyle w:val="Default"/>
              <w:ind w:firstLine="397"/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12534" w:rsidRPr="00A12534" w:rsidTr="00A12534">
        <w:trPr>
          <w:jc w:val="center"/>
        </w:trPr>
        <w:tc>
          <w:tcPr>
            <w:tcW w:w="9571" w:type="dxa"/>
          </w:tcPr>
          <w:p w:rsidR="00A12534" w:rsidRPr="00A12534" w:rsidRDefault="00A12534" w:rsidP="00C8282B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t xml:space="preserve">УДК 558.535.8(571.66) </w:t>
            </w:r>
          </w:p>
          <w:p w:rsidR="00C8282B" w:rsidRDefault="00C8282B" w:rsidP="00C8282B">
            <w:pPr>
              <w:pStyle w:val="Default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Default="00A12534" w:rsidP="00C8282B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Т.Л. Введенская, А.В. Улатов</w:t>
            </w:r>
          </w:p>
          <w:p w:rsidR="00C8282B" w:rsidRPr="00A12534" w:rsidRDefault="00C8282B" w:rsidP="00C8282B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12534" w:rsidRPr="00A12534" w:rsidRDefault="00A12534" w:rsidP="00C8282B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ВЛИЯНИЕ СТОКОВ РЫБОПЕРЕРАБАТЫВАЮЩИХ ПРЕДПРИЯТИЙ</w:t>
            </w:r>
          </w:p>
          <w:p w:rsidR="00A12534" w:rsidRPr="00A12534" w:rsidRDefault="00A12534" w:rsidP="00C8282B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НА ЭКОЛОГИЧЕСКОЕ СОСТОЯНИЕ РУЧЬЯ КАНОНЕРСКИЙ</w:t>
            </w:r>
          </w:p>
          <w:p w:rsidR="00A12534" w:rsidRDefault="00A12534" w:rsidP="00C8282B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(БАССЕЙН РЕКИ АВАЧА)</w:t>
            </w:r>
          </w:p>
          <w:p w:rsidR="00C8282B" w:rsidRPr="00A12534" w:rsidRDefault="00C8282B" w:rsidP="00C8282B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</w:p>
          <w:p w:rsidR="00A12534" w:rsidRPr="00A12534" w:rsidRDefault="00A12534" w:rsidP="00C8282B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t>В нижнем течении руч. Канонерский, притоке первого порядка р. Авача, расположены два рыбоперерабатывающих завода, и часть отходов от переработки рыбы сбрасывается в ручей. Р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зультаты гидрохимических анализов воды на этом участке ручья показали значительное превыш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ние ПДК, установленных для рыбохозяйственных водоемов по аммонию, фосфатам, железу. На участке русла ниже первого завода качество воды соответствовало классу «чистая», после заводов и вблизи устья, отличавшихся низкой концентрацией растворенного кислорода и высокими знач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ниями БПК</w:t>
            </w:r>
            <w:r w:rsidRPr="005C6FFC">
              <w:rPr>
                <w:rFonts w:ascii="PT Astra Serif" w:hAnsi="PT Astra Serif"/>
                <w:sz w:val="22"/>
                <w:szCs w:val="22"/>
                <w:vertAlign w:val="subscript"/>
              </w:rPr>
              <w:t>5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 – классу «чрезвычайно грязная». Ниже заводов макрозообентос практически отсутс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т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вовал, единично встречались только наиболее толерантные к загрязнению беспозвоночные. За п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риод исследований в нижнем течении ручья молодь тихоокеанских лососей не обнаружена, выше заводов встречалась мальма, в устье ручья – трехиглая колюшка. </w:t>
            </w:r>
          </w:p>
          <w:p w:rsidR="00C8282B" w:rsidRDefault="00C8282B" w:rsidP="00C8282B">
            <w:pPr>
              <w:pStyle w:val="Default"/>
              <w:ind w:firstLine="397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Pr="00A12534" w:rsidRDefault="00A12534" w:rsidP="00C8282B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Ключевые слова</w:t>
            </w:r>
            <w:r w:rsidRPr="00A12534">
              <w:rPr>
                <w:rFonts w:ascii="PT Astra Serif" w:hAnsi="PT Astra Serif"/>
                <w:sz w:val="22"/>
                <w:szCs w:val="22"/>
              </w:rPr>
              <w:t>: антропогенная нагрузка, Камчатка, качество воды, макрозообентос, тих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океанские лососи, экологическое состояние. </w:t>
            </w:r>
          </w:p>
          <w:p w:rsidR="00C8282B" w:rsidRDefault="00C8282B" w:rsidP="00A12534">
            <w:pPr>
              <w:pStyle w:val="Default"/>
              <w:ind w:firstLine="397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Default="00A12534" w:rsidP="00C8282B">
            <w:pPr>
              <w:pStyle w:val="Default"/>
              <w:ind w:firstLine="397"/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A12534">
              <w:rPr>
                <w:rFonts w:ascii="PT Astra Serif" w:hAnsi="PT Astra Serif"/>
                <w:i/>
                <w:iCs/>
                <w:sz w:val="22"/>
                <w:szCs w:val="22"/>
              </w:rPr>
              <w:lastRenderedPageBreak/>
              <w:t>DOI: 10.17217/2079-0333-2018-45-73-79</w:t>
            </w:r>
          </w:p>
          <w:p w:rsidR="00C8282B" w:rsidRPr="00A12534" w:rsidRDefault="00C8282B" w:rsidP="00C8282B">
            <w:pPr>
              <w:pStyle w:val="Default"/>
              <w:ind w:firstLine="397"/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12534" w:rsidRPr="00A12534" w:rsidTr="00A12534">
        <w:trPr>
          <w:jc w:val="center"/>
        </w:trPr>
        <w:tc>
          <w:tcPr>
            <w:tcW w:w="9571" w:type="dxa"/>
          </w:tcPr>
          <w:p w:rsidR="00A12534" w:rsidRPr="00A12534" w:rsidRDefault="00A12534" w:rsidP="00C8282B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УДК 582.272.462(265.5) </w:t>
            </w:r>
          </w:p>
          <w:p w:rsidR="00C8282B" w:rsidRDefault="00C8282B" w:rsidP="00C8282B">
            <w:pPr>
              <w:pStyle w:val="Default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Pr="00A12534" w:rsidRDefault="00A12534" w:rsidP="00C8282B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Н.Г. Клочкова, Т.А. Клочкова</w:t>
            </w:r>
          </w:p>
          <w:p w:rsidR="00C8282B" w:rsidRDefault="00C8282B" w:rsidP="00C8282B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5C6FFC" w:rsidRDefault="00A12534" w:rsidP="00C8282B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РЕВИЗИЯ ВИДОВОГО СОСТАВА МОРСКОЙ АЛЬГОФЛОРЫ </w:t>
            </w:r>
          </w:p>
          <w:p w:rsidR="00A12534" w:rsidRDefault="00A12534" w:rsidP="00C8282B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ВОСТОЧНОГО САХАЛИНА И ДОПОЛНЕНИЯ К НЕЙ</w:t>
            </w:r>
          </w:p>
          <w:p w:rsidR="00C8282B" w:rsidRPr="00A12534" w:rsidRDefault="00C8282B" w:rsidP="00C8282B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</w:p>
          <w:p w:rsidR="00A12534" w:rsidRPr="00A12534" w:rsidRDefault="00A12534" w:rsidP="005C6FFC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t>Приводится общий список видового состава морской альгофлоры восточного побережья С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а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халина. Он составлен на основании ревизии имеющихся в научной литературе альгофлористич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ских данных и результатов обработки сборов водорослей-макрофитов, собранных в районе мыса Арцешевского в ходе проведения в августе 2013 г. исследований, направленных на изучение вид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вого состава и ценотической структуры сообществ ламинариевых водорослей южного Сахалина. Общий список водорослей восточного побережья включает 153 вида, 28 из них (4 – Chlorophyta, 10 – Ochrophyta и 14 – Rhodophyta) указываются для альгофлоры восточного Сахалина впервые. </w:t>
            </w:r>
          </w:p>
          <w:p w:rsidR="005C6FFC" w:rsidRDefault="005C6FFC" w:rsidP="005C6FFC">
            <w:pPr>
              <w:pStyle w:val="Default"/>
              <w:ind w:firstLine="397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Default="00A12534" w:rsidP="005C6FFC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водоросли-макрофиты, восточный Сахалин, новые находки, ревизия ал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ь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гофлоры. </w:t>
            </w:r>
          </w:p>
          <w:p w:rsidR="005C6FFC" w:rsidRPr="00A12534" w:rsidRDefault="005C6FFC" w:rsidP="005C6FFC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A12534" w:rsidRDefault="00A12534" w:rsidP="005C6FFC">
            <w:pPr>
              <w:pStyle w:val="Default"/>
              <w:ind w:firstLine="397"/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A12534">
              <w:rPr>
                <w:rFonts w:ascii="PT Astra Serif" w:hAnsi="PT Astra Serif"/>
                <w:i/>
                <w:iCs/>
                <w:sz w:val="22"/>
                <w:szCs w:val="22"/>
              </w:rPr>
              <w:t>DOI: 10.17217/2079-0333-2018-45-80-97</w:t>
            </w:r>
          </w:p>
          <w:p w:rsidR="005C6FFC" w:rsidRPr="00A12534" w:rsidRDefault="005C6FFC" w:rsidP="005C6FFC">
            <w:pPr>
              <w:pStyle w:val="Default"/>
              <w:ind w:firstLine="397"/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12534" w:rsidRPr="00A12534" w:rsidTr="00A12534">
        <w:trPr>
          <w:jc w:val="center"/>
        </w:trPr>
        <w:tc>
          <w:tcPr>
            <w:tcW w:w="9571" w:type="dxa"/>
          </w:tcPr>
          <w:p w:rsidR="00A12534" w:rsidRPr="00A12534" w:rsidRDefault="00A12534" w:rsidP="005C6FFC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t xml:space="preserve">УДК 574+556.115:579+556.555.6 </w:t>
            </w:r>
          </w:p>
          <w:p w:rsidR="005C6FFC" w:rsidRDefault="005C6FFC" w:rsidP="005C6FFC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Default="00A12534" w:rsidP="005C6FFC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С.В. Мурадов</w:t>
            </w:r>
          </w:p>
          <w:p w:rsidR="005C6FFC" w:rsidRPr="00A12534" w:rsidRDefault="005C6FFC" w:rsidP="005C6FFC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12534" w:rsidRPr="00A12534" w:rsidRDefault="00A12534" w:rsidP="005C6FFC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ЭКОЛОГИЧЕСКИЕ ВЗАИМОДЕЙСТВИЯ ТЕРМОМИНЕРАЛЬНЫХ ВОД</w:t>
            </w:r>
          </w:p>
          <w:p w:rsidR="00A12534" w:rsidRDefault="00A12534" w:rsidP="005C6FFC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И АВТОХТОННОЙ МИКРОФЛОРЫ ИЛОВОГО СУЛЬФИДНОГО ПЕЛОИДА</w:t>
            </w:r>
          </w:p>
          <w:p w:rsidR="005C6FFC" w:rsidRPr="00A12534" w:rsidRDefault="005C6FFC" w:rsidP="005C6FFC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12534" w:rsidRPr="00A12534" w:rsidRDefault="00A12534" w:rsidP="005C6FFC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t>Описаны результаты изучения воздействия термоминеральных вод на специфическое микро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б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ное сообщество иловой сульфидной лечебной грязи, полученной из озера Утиное, расположенного на юго-востоке Камчатки. Длительные наблюдения за экологическим состоянием грязелечебного месторождения свидетельствуют о сохранении некондиционных показателей санитарного состо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я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ния его покровных вод и донных отложений. Присутствующее здесь автохтонное микробное с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общество в силу произошедших изменений не обеспечивает восстановление требуемых кондиций лечебной грязи. Причиной снижения очищающих способностей донных отложений озера является токсическое влияние на них термальных вод. Это было установлено в процессе разведения пело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и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да в дистиллированной воде и в воде с добавлением разного количества термоминеральной воды. </w:t>
            </w:r>
          </w:p>
          <w:p w:rsidR="005C6FFC" w:rsidRDefault="005C6FFC" w:rsidP="005C6FFC">
            <w:pPr>
              <w:pStyle w:val="Default"/>
              <w:ind w:firstLine="397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Pr="00A12534" w:rsidRDefault="00A12534" w:rsidP="005C6FFC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термоминеральная вода, покровные воды, пелоид, автохтонное микробное сообщество, лечебная грязь, санитарное состояние. </w:t>
            </w:r>
          </w:p>
          <w:p w:rsidR="005C6FFC" w:rsidRDefault="005C6FFC" w:rsidP="00A12534">
            <w:pPr>
              <w:pStyle w:val="Default"/>
              <w:ind w:firstLine="397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Default="00A12534" w:rsidP="005C6FFC">
            <w:pPr>
              <w:pStyle w:val="Default"/>
              <w:ind w:firstLine="397"/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A12534">
              <w:rPr>
                <w:rFonts w:ascii="PT Astra Serif" w:hAnsi="PT Astra Serif"/>
                <w:i/>
                <w:iCs/>
                <w:sz w:val="22"/>
                <w:szCs w:val="22"/>
              </w:rPr>
              <w:t>DOI: 10.17217/2079-0333-2018-45-98-102</w:t>
            </w:r>
          </w:p>
          <w:p w:rsidR="005C6FFC" w:rsidRPr="00A12534" w:rsidRDefault="005C6FFC" w:rsidP="005C6FFC">
            <w:pPr>
              <w:pStyle w:val="Default"/>
              <w:ind w:firstLine="397"/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12534" w:rsidRPr="00A12534" w:rsidTr="00A12534">
        <w:trPr>
          <w:jc w:val="center"/>
        </w:trPr>
        <w:tc>
          <w:tcPr>
            <w:tcW w:w="9571" w:type="dxa"/>
          </w:tcPr>
          <w:p w:rsidR="00A12534" w:rsidRPr="00A12534" w:rsidRDefault="00A12534" w:rsidP="005C6FFC">
            <w:pPr>
              <w:pStyle w:val="Default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t xml:space="preserve">УДК 581.526.3(262.5) </w:t>
            </w:r>
          </w:p>
          <w:p w:rsidR="005C6FFC" w:rsidRDefault="005C6FFC" w:rsidP="005C6FFC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Default="00A12534" w:rsidP="005C6FFC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О.В. Степаньян</w:t>
            </w:r>
          </w:p>
          <w:p w:rsidR="005C6FFC" w:rsidRPr="00A12534" w:rsidRDefault="005C6FFC" w:rsidP="005C6FFC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12534" w:rsidRPr="00A12534" w:rsidRDefault="00A12534" w:rsidP="005C6FFC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МАКРОФИТОБЕНТОС НОВОРОССИЙСКОЙ БУХТЫ (ЧЕРНОЕ МОРЕ):</w:t>
            </w:r>
          </w:p>
          <w:p w:rsidR="00A12534" w:rsidRDefault="00A12534" w:rsidP="005C6FFC">
            <w:pPr>
              <w:pStyle w:val="Default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ДЕГРАДАЦИЯ В УСЛОВИЯХ ХОЗЯЙСТВЕННОЙ ДЕЯТЕЛЬНОСТИ И КЛИМАТИЧ</w:t>
            </w: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Е</w:t>
            </w: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>СКИХ ИЗМЕНЕНИЙ</w:t>
            </w:r>
          </w:p>
          <w:p w:rsidR="005C6FFC" w:rsidRPr="00A12534" w:rsidRDefault="005C6FFC" w:rsidP="005C6FFC">
            <w:pPr>
              <w:pStyle w:val="Defaul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12534" w:rsidRPr="00A12534" w:rsidRDefault="00A12534" w:rsidP="005C6FFC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sz w:val="22"/>
                <w:szCs w:val="22"/>
              </w:rPr>
              <w:t xml:space="preserve">Трансформация в структуре фитобентоса Новороссийской бухты началась с середины 2000-х гг. и имеет черты дегрессивной сукцессии. В начале 2010-х гг. начались </w:t>
            </w:r>
            <w:r w:rsidR="005C6FFC">
              <w:rPr>
                <w:rFonts w:ascii="PT Astra Serif" w:hAnsi="PT Astra Serif"/>
                <w:sz w:val="22"/>
                <w:szCs w:val="22"/>
              </w:rPr>
              <w:t>реконструкция и расш</w:t>
            </w:r>
            <w:r w:rsidR="005C6FFC">
              <w:rPr>
                <w:rFonts w:ascii="PT Astra Serif" w:hAnsi="PT Astra Serif"/>
                <w:sz w:val="22"/>
                <w:szCs w:val="22"/>
              </w:rPr>
              <w:t>и</w:t>
            </w:r>
            <w:r w:rsidR="005C6FFC">
              <w:rPr>
                <w:rFonts w:ascii="PT Astra Serif" w:hAnsi="PT Astra Serif"/>
                <w:sz w:val="22"/>
                <w:szCs w:val="22"/>
              </w:rPr>
              <w:t>рение Ново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российского морского порта, что обозначило необходимость оценить состояние ма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к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рофитобентоса до начала масштабных изменений в прибрежной зоне и акватории бухты. Монит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ринг макрофитобентоса этой бухты в летний период 2011 г. показал наличие 102 видов </w:t>
            </w:r>
            <w:r w:rsidRPr="00A12534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водорослей-макрофитов: зеленых – 26, красных – 53, бурых – 23. По числу видов преобладали представители родов </w:t>
            </w:r>
            <w:r w:rsidRPr="00A12534">
              <w:rPr>
                <w:rFonts w:ascii="PT Astra Serif" w:hAnsi="PT Astra Serif"/>
                <w:i/>
                <w:iCs/>
                <w:sz w:val="22"/>
                <w:szCs w:val="22"/>
              </w:rPr>
              <w:t>Ulva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Pr="00A12534">
              <w:rPr>
                <w:rFonts w:ascii="PT Astra Serif" w:hAnsi="PT Astra Serif"/>
                <w:i/>
                <w:iCs/>
                <w:sz w:val="22"/>
                <w:szCs w:val="22"/>
              </w:rPr>
              <w:t>Cladophora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Pr="00A12534">
              <w:rPr>
                <w:rFonts w:ascii="PT Astra Serif" w:hAnsi="PT Astra Serif"/>
                <w:i/>
                <w:iCs/>
                <w:sz w:val="22"/>
                <w:szCs w:val="22"/>
              </w:rPr>
              <w:t>Ceramium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Pr="00A12534">
              <w:rPr>
                <w:rFonts w:ascii="PT Astra Serif" w:hAnsi="PT Astra Serif"/>
                <w:i/>
                <w:iCs/>
                <w:sz w:val="22"/>
                <w:szCs w:val="22"/>
              </w:rPr>
              <w:t>Polysiphonia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Pr="00A12534">
              <w:rPr>
                <w:rFonts w:ascii="PT Astra Serif" w:hAnsi="PT Astra Serif"/>
                <w:i/>
                <w:iCs/>
                <w:sz w:val="22"/>
                <w:szCs w:val="22"/>
              </w:rPr>
              <w:t>Ectocarpus</w:t>
            </w:r>
            <w:r w:rsidRPr="00A12534">
              <w:rPr>
                <w:rFonts w:ascii="PT Astra Serif" w:hAnsi="PT Astra Serif"/>
                <w:sz w:val="22"/>
                <w:szCs w:val="22"/>
              </w:rPr>
              <w:t>. Наибольшее видовое разнообразие было отмечено для относительно чистых, удаленных от портовой акватории учас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т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ков восточного и западного прибрежья. Индекс разнообразия Шеннона (</w:t>
            </w:r>
            <w:r w:rsidRPr="00A12534">
              <w:rPr>
                <w:rFonts w:ascii="PT Astra Serif" w:hAnsi="PT Astra Serif"/>
                <w:i/>
                <w:iCs/>
                <w:sz w:val="22"/>
                <w:szCs w:val="22"/>
              </w:rPr>
              <w:t>H</w:t>
            </w:r>
            <w:r w:rsidRPr="00A12534">
              <w:rPr>
                <w:rFonts w:ascii="PT Astra Serif" w:hAnsi="PT Astra Serif"/>
                <w:sz w:val="22"/>
                <w:szCs w:val="22"/>
              </w:rPr>
              <w:t>) для акватории порта составил 1,64, для западного берега 2,08, для восточного берега – 2,18. Биомасса водорослей Н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вороссийской бухты изменялась в значительном диапазоне: 0,3 кг/м</w:t>
            </w:r>
            <w:r w:rsidRPr="005C6FFC">
              <w:rPr>
                <w:rFonts w:ascii="PT Astra Serif" w:hAnsi="PT Astra Serif"/>
                <w:sz w:val="22"/>
                <w:szCs w:val="22"/>
                <w:vertAlign w:val="superscript"/>
              </w:rPr>
              <w:t>2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 в районе порта, 1,5–1,8 кг/м</w:t>
            </w:r>
            <w:r w:rsidRPr="005C6FFC">
              <w:rPr>
                <w:rFonts w:ascii="PT Astra Serif" w:hAnsi="PT Astra Serif"/>
                <w:sz w:val="22"/>
                <w:szCs w:val="22"/>
                <w:vertAlign w:val="superscript"/>
              </w:rPr>
              <w:t>2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 в средней части бухты, 3–3,5 кг/м</w:t>
            </w:r>
            <w:r w:rsidRPr="005C6FFC">
              <w:rPr>
                <w:rFonts w:ascii="PT Astra Serif" w:hAnsi="PT Astra Serif"/>
                <w:sz w:val="22"/>
                <w:szCs w:val="22"/>
                <w:vertAlign w:val="superscript"/>
              </w:rPr>
              <w:t>2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 – на выходе из бухты. К концу 2000-х гг. видовое разнообразие фитобентоса Новороссийской бухты уменьшилось в 1,5 раза в сравнении с 1970-ми гг., в основном за счет холодноводной группы водорослей. В настоящее время преобладают поли- и мезосапроб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и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онтные виды тепловодного комплекса. В три раза по сравнению с 1960-ми гг. сократились площ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а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ди бурой водоросли </w:t>
            </w:r>
            <w:r w:rsidRPr="00A12534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Cystoseira </w:t>
            </w:r>
            <w:r w:rsidRPr="00A12534">
              <w:rPr>
                <w:rFonts w:ascii="PT Astra Serif" w:hAnsi="PT Astra Serif"/>
                <w:sz w:val="22"/>
                <w:szCs w:val="22"/>
              </w:rPr>
              <w:t>– основного эдификатора и средообразующего вида зарослей ср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е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диземноморского типа. На фоне потепления поверхностного слоя вод Черного моря и негативного действия этого фактора на сообщества </w:t>
            </w:r>
            <w:r w:rsidRPr="00A12534">
              <w:rPr>
                <w:rFonts w:ascii="PT Astra Serif" w:hAnsi="PT Astra Serif"/>
                <w:i/>
                <w:iCs/>
                <w:sz w:val="22"/>
                <w:szCs w:val="22"/>
              </w:rPr>
              <w:t xml:space="preserve">Cystoseira </w:t>
            </w:r>
            <w:r w:rsidRPr="00A12534">
              <w:rPr>
                <w:rFonts w:ascii="PT Astra Serif" w:hAnsi="PT Astra Serif"/>
                <w:sz w:val="22"/>
                <w:szCs w:val="22"/>
              </w:rPr>
              <w:t>неразумная хозяйственная деятельность может привести к полному исчезновению многолетних черноморских сообществ водорослей в Новоро</w:t>
            </w:r>
            <w:r w:rsidRPr="00A12534">
              <w:rPr>
                <w:rFonts w:ascii="PT Astra Serif" w:hAnsi="PT Astra Serif"/>
                <w:sz w:val="22"/>
                <w:szCs w:val="22"/>
              </w:rPr>
              <w:t>с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сийской бухте. </w:t>
            </w:r>
          </w:p>
          <w:p w:rsidR="005C6FFC" w:rsidRDefault="005C6FFC" w:rsidP="005C6FFC">
            <w:pPr>
              <w:pStyle w:val="Default"/>
              <w:ind w:firstLine="397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A12534" w:rsidRPr="00A12534" w:rsidRDefault="00A12534" w:rsidP="005C6FFC">
            <w:pPr>
              <w:pStyle w:val="Default"/>
              <w:ind w:firstLine="39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12534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Ключевые слова: </w:t>
            </w:r>
            <w:r w:rsidRPr="00A12534">
              <w:rPr>
                <w:rFonts w:ascii="PT Astra Serif" w:hAnsi="PT Astra Serif"/>
                <w:sz w:val="22"/>
                <w:szCs w:val="22"/>
              </w:rPr>
              <w:t xml:space="preserve">загрязнение, изменения климата, макроводоросли, Новороссийская бухта, Черное море. </w:t>
            </w:r>
          </w:p>
          <w:p w:rsidR="005C6FFC" w:rsidRDefault="005C6FFC" w:rsidP="005C6FFC">
            <w:pPr>
              <w:pStyle w:val="Default"/>
              <w:ind w:firstLine="397"/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  <w:p w:rsidR="00A12534" w:rsidRDefault="00A12534" w:rsidP="005C6FFC">
            <w:pPr>
              <w:pStyle w:val="Default"/>
              <w:ind w:firstLine="397"/>
              <w:jc w:val="right"/>
              <w:rPr>
                <w:rFonts w:ascii="PT Astra Serif" w:hAnsi="PT Astra Serif"/>
                <w:i/>
                <w:iCs/>
                <w:sz w:val="22"/>
                <w:szCs w:val="22"/>
              </w:rPr>
            </w:pPr>
            <w:r w:rsidRPr="00A12534">
              <w:rPr>
                <w:rFonts w:ascii="PT Astra Serif" w:hAnsi="PT Astra Serif"/>
                <w:i/>
                <w:iCs/>
                <w:sz w:val="22"/>
                <w:szCs w:val="22"/>
              </w:rPr>
              <w:t>DOI: 10.17217/2079-0333-2018-45-110-116</w:t>
            </w:r>
          </w:p>
          <w:p w:rsidR="005C6FFC" w:rsidRPr="00A12534" w:rsidRDefault="005C6FFC" w:rsidP="005C6FFC">
            <w:pPr>
              <w:pStyle w:val="Default"/>
              <w:ind w:firstLine="397"/>
              <w:jc w:val="right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A12534" w:rsidRPr="00A12534" w:rsidRDefault="00A12534" w:rsidP="00A12534">
      <w:pPr>
        <w:spacing w:after="0" w:line="240" w:lineRule="auto"/>
        <w:ind w:firstLine="397"/>
        <w:rPr>
          <w:rFonts w:ascii="PT Astra Serif" w:hAnsi="PT Astra Serif"/>
        </w:rPr>
      </w:pPr>
    </w:p>
    <w:sectPr w:rsidR="00A12534" w:rsidRPr="00A12534" w:rsidSect="00A1253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autoHyphenation/>
  <w:consecutiveHyphenLimit w:val="3"/>
  <w:hyphenationZone w:val="357"/>
  <w:characterSpacingControl w:val="doNotCompress"/>
  <w:compat/>
  <w:rsids>
    <w:rsidRoot w:val="00A12534"/>
    <w:rsid w:val="00054AB9"/>
    <w:rsid w:val="00485E62"/>
    <w:rsid w:val="004A39F1"/>
    <w:rsid w:val="005C6FFC"/>
    <w:rsid w:val="009E231D"/>
    <w:rsid w:val="00A12534"/>
    <w:rsid w:val="00A5460B"/>
    <w:rsid w:val="00C14D10"/>
    <w:rsid w:val="00C8282B"/>
    <w:rsid w:val="00F1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A12534"/>
    <w:rPr>
      <w:sz w:val="16"/>
      <w:szCs w:val="16"/>
    </w:rPr>
  </w:style>
  <w:style w:type="paragraph" w:customStyle="1" w:styleId="Default">
    <w:name w:val="Default"/>
    <w:rsid w:val="00A12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babuh_ee</dc:creator>
  <cp:lastModifiedBy>babuh_ee</cp:lastModifiedBy>
  <cp:revision>1</cp:revision>
  <dcterms:created xsi:type="dcterms:W3CDTF">2023-09-26T23:03:00Z</dcterms:created>
  <dcterms:modified xsi:type="dcterms:W3CDTF">2023-09-26T23:50:00Z</dcterms:modified>
</cp:coreProperties>
</file>