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34" w:rsidRPr="00A12534" w:rsidRDefault="00A12534" w:rsidP="00A12534">
      <w:pPr>
        <w:spacing w:after="0" w:line="240" w:lineRule="auto"/>
        <w:ind w:firstLine="397"/>
        <w:jc w:val="center"/>
        <w:rPr>
          <w:rFonts w:ascii="PT Astra Serif" w:hAnsi="PT Astra Serif"/>
          <w:b/>
        </w:rPr>
      </w:pPr>
      <w:r w:rsidRPr="00A12534">
        <w:rPr>
          <w:rFonts w:ascii="PT Astra Serif" w:hAnsi="PT Astra Serif"/>
          <w:b/>
        </w:rPr>
        <w:t>Вестник 45</w:t>
      </w:r>
    </w:p>
    <w:p w:rsidR="00A12534" w:rsidRPr="00A12534" w:rsidRDefault="00A12534" w:rsidP="00A12534">
      <w:pPr>
        <w:spacing w:after="0" w:line="240" w:lineRule="auto"/>
        <w:ind w:firstLine="397"/>
        <w:rPr>
          <w:rFonts w:ascii="PT Astra Serif" w:hAnsi="PT Astra Serif"/>
        </w:rPr>
      </w:pPr>
    </w:p>
    <w:tbl>
      <w:tblPr>
        <w:tblStyle w:val="a3"/>
        <w:tblW w:w="0" w:type="auto"/>
        <w:jc w:val="center"/>
        <w:tblLook w:val="04A0"/>
      </w:tblPr>
      <w:tblGrid>
        <w:gridCol w:w="9571"/>
      </w:tblGrid>
      <w:tr w:rsidR="00A12534" w:rsidRPr="00A12534" w:rsidTr="00A12534">
        <w:trPr>
          <w:jc w:val="center"/>
        </w:trPr>
        <w:tc>
          <w:tcPr>
            <w:tcW w:w="9571" w:type="dxa"/>
          </w:tcPr>
          <w:p w:rsidR="00A12534" w:rsidRDefault="00A12534" w:rsidP="00A12534">
            <w:pPr>
              <w:pStyle w:val="Defaul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12534">
              <w:rPr>
                <w:rFonts w:ascii="PT Astra Serif" w:hAnsi="PT Astra Serif"/>
                <w:sz w:val="22"/>
                <w:szCs w:val="22"/>
              </w:rPr>
              <w:t>УДК 628.31</w:t>
            </w:r>
          </w:p>
          <w:p w:rsidR="00A12534" w:rsidRPr="00A12534" w:rsidRDefault="00A12534" w:rsidP="00A12534">
            <w:pPr>
              <w:pStyle w:val="Default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A12534" w:rsidRDefault="00A12534" w:rsidP="00A12534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A12534">
              <w:rPr>
                <w:rFonts w:ascii="PT Astra Serif" w:hAnsi="PT Astra Serif"/>
                <w:b/>
                <w:bCs/>
                <w:sz w:val="22"/>
                <w:szCs w:val="22"/>
              </w:rPr>
              <w:t>С.В. Свергузова, И.Г. Шайхиев, Ж.А. Сапронова, Р.Р. Валиев</w:t>
            </w:r>
          </w:p>
          <w:p w:rsidR="00A12534" w:rsidRPr="00A12534" w:rsidRDefault="00A12534" w:rsidP="00A12534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12534" w:rsidRPr="00A12534" w:rsidRDefault="00A12534" w:rsidP="00A12534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12534">
              <w:rPr>
                <w:rFonts w:ascii="PT Astra Serif" w:hAnsi="PT Astra Serif"/>
                <w:b/>
                <w:bCs/>
                <w:sz w:val="22"/>
                <w:szCs w:val="22"/>
              </w:rPr>
              <w:t>ИСПОЛЬЗОВАНИЕ ОТХОДОВ ПЕРЕРАБОТКИ ГАББРО-ДИАБАЗА</w:t>
            </w:r>
          </w:p>
          <w:p w:rsidR="00A12534" w:rsidRDefault="00A12534" w:rsidP="00A12534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A12534">
              <w:rPr>
                <w:rFonts w:ascii="PT Astra Serif" w:hAnsi="PT Astra Serif"/>
                <w:b/>
                <w:bCs/>
                <w:sz w:val="22"/>
                <w:szCs w:val="22"/>
              </w:rPr>
              <w:t>ДЛЯ ОЧИСТКИ СТОЧНЫХ ВОД</w:t>
            </w:r>
          </w:p>
          <w:p w:rsidR="00A12534" w:rsidRPr="00A12534" w:rsidRDefault="00A12534" w:rsidP="00A12534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12534" w:rsidRPr="00A12534" w:rsidRDefault="00A12534" w:rsidP="00A12534">
            <w:pPr>
              <w:pStyle w:val="Default"/>
              <w:ind w:firstLine="39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12534">
              <w:rPr>
                <w:rFonts w:ascii="PT Astra Serif" w:hAnsi="PT Astra Serif"/>
                <w:sz w:val="22"/>
                <w:szCs w:val="22"/>
              </w:rPr>
              <w:t>Разработка новых эффективных сорбционных материалов на основе промышленных и сел</w:t>
            </w:r>
            <w:r w:rsidRPr="00A12534">
              <w:rPr>
                <w:rFonts w:ascii="PT Astra Serif" w:hAnsi="PT Astra Serif"/>
                <w:sz w:val="22"/>
                <w:szCs w:val="22"/>
              </w:rPr>
              <w:t>ь</w:t>
            </w:r>
            <w:r w:rsidRPr="00A12534">
              <w:rPr>
                <w:rFonts w:ascii="PT Astra Serif" w:hAnsi="PT Astra Serif"/>
                <w:sz w:val="22"/>
                <w:szCs w:val="22"/>
              </w:rPr>
              <w:t>скохозяйственных отходов представляет собой актуальную задачу. В работе рассмотрена возмо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ж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ность использования отходов обработки габбро-диабаза (обломков, крошки, пыли) для получения сорбционных материалов, пригодных к использованию в водоочистке. Приведены справочные данные по их химическому составу и некоторым физическим свойствам (средняя плотность, и</w:t>
            </w:r>
            <w:r w:rsidRPr="00A12534">
              <w:rPr>
                <w:rFonts w:ascii="PT Astra Serif" w:hAnsi="PT Astra Serif"/>
                <w:sz w:val="22"/>
                <w:szCs w:val="22"/>
              </w:rPr>
              <w:t>с</w:t>
            </w:r>
            <w:r w:rsidRPr="00A12534">
              <w:rPr>
                <w:rFonts w:ascii="PT Astra Serif" w:hAnsi="PT Astra Serif"/>
                <w:sz w:val="22"/>
                <w:szCs w:val="22"/>
              </w:rPr>
              <w:t>тинная плотность, пористость, истираемость, ударная вязкость, модуль упругости при сжатии, в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о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допоглощение, предел прочности, марка по морозостойкости, потери при истирании). При микр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о</w:t>
            </w:r>
            <w:r w:rsidRPr="00A12534">
              <w:rPr>
                <w:rFonts w:ascii="PT Astra Serif" w:hAnsi="PT Astra Serif"/>
                <w:sz w:val="22"/>
                <w:szCs w:val="22"/>
              </w:rPr>
              <w:t>скопических исследованиях, проведенных с помощью высокоразрешающего микроскопа «Hitachi-8-800», на поверхности частиц габбро-диабаза обнаружены разупорядоченные частицы микро- и наноразмеров неправильной формы с сетчатой структурой поверхности и множеством активных центров, что свидетельствует о наличии сорбционных свойств у исследуемого габбро-диабаза. При исследовании суспензионного эффекта в системе габбро-диабаз – вода установлено, что п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о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верхность частиц габбро-диабаза имеет положительный заряд. Об этом свидетельствует подкисл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е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ние фильтрата по сравнению с суспензией. При очистке модельных растворов красителя метил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е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нового голубого с концентрацией 10 мг/дм</w:t>
            </w:r>
            <w:r w:rsidRPr="005C6FFC">
              <w:rPr>
                <w:rFonts w:ascii="PT Astra Serif" w:hAnsi="PT Astra Serif"/>
                <w:sz w:val="22"/>
                <w:szCs w:val="22"/>
                <w:vertAlign w:val="superscript"/>
              </w:rPr>
              <w:t>3</w:t>
            </w:r>
            <w:r w:rsidRPr="00A12534">
              <w:rPr>
                <w:rFonts w:ascii="PT Astra Serif" w:hAnsi="PT Astra Serif"/>
                <w:sz w:val="22"/>
                <w:szCs w:val="22"/>
              </w:rPr>
              <w:t xml:space="preserve"> эффективность очистки составила 99,25%, а для его раствора с концентрацией 20 мг/дм</w:t>
            </w:r>
            <w:r w:rsidRPr="005C6FFC">
              <w:rPr>
                <w:rFonts w:ascii="PT Astra Serif" w:hAnsi="PT Astra Serif"/>
                <w:sz w:val="22"/>
                <w:szCs w:val="22"/>
                <w:vertAlign w:val="superscript"/>
              </w:rPr>
              <w:t>3</w:t>
            </w:r>
            <w:r w:rsidRPr="00A12534">
              <w:rPr>
                <w:rFonts w:ascii="PT Astra Serif" w:hAnsi="PT Astra Serif"/>
                <w:sz w:val="22"/>
                <w:szCs w:val="22"/>
              </w:rPr>
              <w:t xml:space="preserve"> – 97,3%. </w:t>
            </w:r>
          </w:p>
          <w:p w:rsidR="00054AB9" w:rsidRDefault="00054AB9" w:rsidP="00A12534">
            <w:pPr>
              <w:pStyle w:val="Default"/>
              <w:ind w:firstLine="397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A12534" w:rsidRPr="00A12534" w:rsidRDefault="00A12534" w:rsidP="00A12534">
            <w:pPr>
              <w:pStyle w:val="Default"/>
              <w:ind w:firstLine="39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12534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Ключевые слова: </w:t>
            </w:r>
            <w:r w:rsidRPr="00A12534">
              <w:rPr>
                <w:rFonts w:ascii="PT Astra Serif" w:hAnsi="PT Astra Serif"/>
                <w:sz w:val="22"/>
                <w:szCs w:val="22"/>
              </w:rPr>
              <w:t xml:space="preserve">габбро-диабаз, отходы переработки, очистка сточных вод, сорбционные материалы, утилизация промышленных отходов, метиленовый голубой, эффективность очистки. </w:t>
            </w:r>
          </w:p>
          <w:p w:rsidR="00054AB9" w:rsidRDefault="00054AB9" w:rsidP="00A12534">
            <w:pPr>
              <w:widowControl w:val="0"/>
              <w:ind w:firstLine="397"/>
              <w:jc w:val="right"/>
              <w:rPr>
                <w:rFonts w:ascii="PT Astra Serif" w:hAnsi="PT Astra Serif"/>
                <w:i/>
                <w:iCs/>
              </w:rPr>
            </w:pPr>
          </w:p>
          <w:p w:rsidR="00A12534" w:rsidRPr="00A12534" w:rsidRDefault="00A12534" w:rsidP="00A12534">
            <w:pPr>
              <w:widowControl w:val="0"/>
              <w:ind w:firstLine="397"/>
              <w:jc w:val="right"/>
              <w:rPr>
                <w:rFonts w:ascii="PT Astra Serif" w:eastAsia="Calibri" w:hAnsi="PT Astra Serif" w:cs="Times New Roman"/>
                <w:i/>
                <w:iCs/>
              </w:rPr>
            </w:pPr>
            <w:r w:rsidRPr="00A12534">
              <w:rPr>
                <w:rFonts w:ascii="PT Astra Serif" w:hAnsi="PT Astra Serif"/>
                <w:i/>
                <w:iCs/>
              </w:rPr>
              <w:t>DOI: 10.17217/2079-0333-2018-45-6-11</w:t>
            </w:r>
          </w:p>
          <w:p w:rsidR="00A12534" w:rsidRPr="00A12534" w:rsidRDefault="00A12534" w:rsidP="00A12534">
            <w:pPr>
              <w:ind w:firstLine="397"/>
              <w:rPr>
                <w:rFonts w:ascii="PT Astra Serif" w:hAnsi="PT Astra Serif"/>
              </w:rPr>
            </w:pPr>
          </w:p>
        </w:tc>
      </w:tr>
      <w:tr w:rsidR="00A12534" w:rsidRPr="00A12534" w:rsidTr="00A12534">
        <w:trPr>
          <w:jc w:val="center"/>
        </w:trPr>
        <w:tc>
          <w:tcPr>
            <w:tcW w:w="9571" w:type="dxa"/>
          </w:tcPr>
          <w:p w:rsidR="00A12534" w:rsidRDefault="00A12534" w:rsidP="00054AB9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A12534">
              <w:rPr>
                <w:rFonts w:ascii="PT Astra Serif" w:hAnsi="PT Astra Serif"/>
                <w:sz w:val="22"/>
                <w:szCs w:val="22"/>
              </w:rPr>
              <w:t xml:space="preserve">УДК 553.411 </w:t>
            </w:r>
          </w:p>
          <w:p w:rsidR="00054AB9" w:rsidRPr="00A12534" w:rsidRDefault="00054AB9" w:rsidP="00054AB9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  <w:p w:rsidR="00A12534" w:rsidRDefault="00A12534" w:rsidP="00054AB9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A12534">
              <w:rPr>
                <w:rFonts w:ascii="PT Astra Serif" w:hAnsi="PT Astra Serif"/>
                <w:b/>
                <w:bCs/>
                <w:sz w:val="22"/>
                <w:szCs w:val="22"/>
              </w:rPr>
              <w:t>В.А. Швецов, В.П. Чичева, О.А. Белавина</w:t>
            </w:r>
          </w:p>
          <w:p w:rsidR="00054AB9" w:rsidRPr="00A12534" w:rsidRDefault="00054AB9" w:rsidP="00054AB9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12534" w:rsidRDefault="00A12534" w:rsidP="00054AB9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A12534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ОБОСНОВАНИЕ НЕОБХОДИМОСТИ СОВМЕСТНОГО ИСПОЛЬЗОВАНИЯ </w:t>
            </w:r>
            <w:r w:rsidR="00054AB9">
              <w:rPr>
                <w:rFonts w:ascii="PT Astra Serif" w:hAnsi="PT Astra Serif"/>
                <w:b/>
                <w:bCs/>
                <w:sz w:val="22"/>
                <w:szCs w:val="22"/>
              </w:rPr>
              <w:br/>
            </w:r>
            <w:r w:rsidRPr="00A12534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МЕТОДОВ ВАРЬИРОВАНИЯ МАССЫ НАВЕСКИ И СОСТАВА ШИХТЫ </w:t>
            </w:r>
            <w:r w:rsidR="00054AB9">
              <w:rPr>
                <w:rFonts w:ascii="PT Astra Serif" w:hAnsi="PT Astra Serif"/>
                <w:b/>
                <w:bCs/>
                <w:sz w:val="22"/>
                <w:szCs w:val="22"/>
              </w:rPr>
              <w:br/>
            </w:r>
            <w:r w:rsidRPr="00A12534">
              <w:rPr>
                <w:rFonts w:ascii="PT Astra Serif" w:hAnsi="PT Astra Serif"/>
                <w:b/>
                <w:bCs/>
                <w:sz w:val="22"/>
                <w:szCs w:val="22"/>
              </w:rPr>
              <w:t>В РУТИННОМ ПРОБИРНОМ АНАЛИЗЕ</w:t>
            </w:r>
          </w:p>
          <w:p w:rsidR="00054AB9" w:rsidRPr="00A12534" w:rsidRDefault="00054AB9" w:rsidP="00054AB9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12534" w:rsidRPr="00A12534" w:rsidRDefault="00A12534" w:rsidP="00054AB9">
            <w:pPr>
              <w:pStyle w:val="Default"/>
              <w:ind w:firstLine="39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12534">
              <w:rPr>
                <w:rFonts w:ascii="PT Astra Serif" w:hAnsi="PT Astra Serif"/>
                <w:sz w:val="22"/>
                <w:szCs w:val="22"/>
              </w:rPr>
              <w:t>Основным методом определения золота и серебра в геологоразведочной и золотодобывающей отраслях является пробирный анализ. Согласно нормативным документам окончательный состав шихты для анализа проб горных пород и руд должен подобрать (или рассчитать) аналитик прои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з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водственной лаборатории, используя различные методические приемы. В статье обоснована нео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б</w:t>
            </w:r>
            <w:r w:rsidRPr="00A12534">
              <w:rPr>
                <w:rFonts w:ascii="PT Astra Serif" w:hAnsi="PT Astra Serif"/>
                <w:sz w:val="22"/>
                <w:szCs w:val="22"/>
              </w:rPr>
              <w:t>ходимость совместного использования в рутинном пробирном анализе следующих методических приемов: варьирования массы аналитической навески и состава шихты. Этот подход использован авторами в рутинном пробирном анализе руд первого и второго классов. В статье приведены р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е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зультаты двух активных экспериментов. В первом эксперименте анализировали пробирным мет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о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дом партию контрольных проб кварцевой золотосодержащей руды первого класса, отобранных на одном из месторождений Камчатского края. Каждую пробу анализировали четыре раза, используя различные шихты. В эксперименте 2 анализировали партию рядовых проб кварц-сульфидной р</w:t>
            </w:r>
            <w:r w:rsidRPr="00A12534">
              <w:rPr>
                <w:rFonts w:ascii="PT Astra Serif" w:hAnsi="PT Astra Serif"/>
                <w:sz w:val="22"/>
                <w:szCs w:val="22"/>
              </w:rPr>
              <w:t>у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ды. Каждую пробу анализировали два раза. Первое определение благородных металлов выполн</w:t>
            </w:r>
            <w:r w:rsidRPr="00A12534">
              <w:rPr>
                <w:rFonts w:ascii="PT Astra Serif" w:hAnsi="PT Astra Serif"/>
                <w:sz w:val="22"/>
                <w:szCs w:val="22"/>
              </w:rPr>
              <w:t>я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ли, используя аналитическую навеску массой 50 г, материал навесок подвергали окислительному обжигу и смешивали с шихтой. При втором определении золота и серебра использовали навески массой 10 г, шихту, из состава которой исключили восстановитель. Операцию окислительного обжига материала навески также исключили из анализа. Из результатов экспериментов следует: а) совместное варьирование массы навески и состава шихты позволяет выявить основные причины потерь золота и серебра в процессе пробирной плавки навесок кварцевой руды (неправильный в</w:t>
            </w:r>
            <w:r w:rsidRPr="00A12534">
              <w:rPr>
                <w:rFonts w:ascii="PT Astra Serif" w:hAnsi="PT Astra Serif"/>
                <w:sz w:val="22"/>
                <w:szCs w:val="22"/>
              </w:rPr>
              <w:t>ы</w:t>
            </w:r>
            <w:r w:rsidRPr="00A12534">
              <w:rPr>
                <w:rFonts w:ascii="PT Astra Serif" w:hAnsi="PT Astra Serif"/>
                <w:sz w:val="22"/>
                <w:szCs w:val="22"/>
              </w:rPr>
              <w:lastRenderedPageBreak/>
              <w:t>бор массы навески и состава шихты); б) в пробирном анализе кварц-сульфидных руд обоснована возможность исключения операции окислительного обжига навески, что повышает экспрессность анализа, производительность труда, снижает расход электроэнергии, улучшает условия труда. В свою очередь улучшение условий труда стимулирует профессиональный рост лаборантов прои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з</w:t>
            </w:r>
            <w:r w:rsidRPr="00A12534">
              <w:rPr>
                <w:rFonts w:ascii="PT Astra Serif" w:hAnsi="PT Astra Serif"/>
                <w:sz w:val="22"/>
                <w:szCs w:val="22"/>
              </w:rPr>
              <w:t xml:space="preserve">водственных лабораторий. </w:t>
            </w:r>
          </w:p>
          <w:p w:rsidR="00054AB9" w:rsidRDefault="00054AB9" w:rsidP="00054AB9">
            <w:pPr>
              <w:pStyle w:val="Default"/>
              <w:ind w:firstLine="397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A12534" w:rsidRPr="00A12534" w:rsidRDefault="00A12534" w:rsidP="00054AB9">
            <w:pPr>
              <w:pStyle w:val="Default"/>
              <w:ind w:firstLine="39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12534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Ключевые слова: </w:t>
            </w:r>
            <w:r w:rsidRPr="00A12534">
              <w:rPr>
                <w:rFonts w:ascii="PT Astra Serif" w:hAnsi="PT Astra Serif"/>
                <w:sz w:val="22"/>
                <w:szCs w:val="22"/>
              </w:rPr>
              <w:t xml:space="preserve">пробирный рутинный анализ, состав шихты, метод варьирования массы навески, золотосодержащие руды, потери золота и серебра. </w:t>
            </w:r>
          </w:p>
          <w:p w:rsidR="00054AB9" w:rsidRDefault="00054AB9" w:rsidP="00A12534">
            <w:pPr>
              <w:ind w:firstLine="397"/>
              <w:rPr>
                <w:rFonts w:ascii="PT Astra Serif" w:hAnsi="PT Astra Serif"/>
                <w:i/>
                <w:iCs/>
              </w:rPr>
            </w:pPr>
          </w:p>
          <w:p w:rsidR="00A12534" w:rsidRDefault="00A12534" w:rsidP="00054AB9">
            <w:pPr>
              <w:ind w:firstLine="397"/>
              <w:jc w:val="right"/>
              <w:rPr>
                <w:rFonts w:ascii="PT Astra Serif" w:hAnsi="PT Astra Serif"/>
                <w:i/>
                <w:iCs/>
              </w:rPr>
            </w:pPr>
            <w:r w:rsidRPr="00A12534">
              <w:rPr>
                <w:rFonts w:ascii="PT Astra Serif" w:hAnsi="PT Astra Serif"/>
                <w:i/>
                <w:iCs/>
              </w:rPr>
              <w:t>DOI: 10.17217/2079-0333-2018-45-12-17</w:t>
            </w:r>
          </w:p>
          <w:p w:rsidR="00054AB9" w:rsidRPr="00A12534" w:rsidRDefault="00054AB9" w:rsidP="00054AB9">
            <w:pPr>
              <w:ind w:firstLine="397"/>
              <w:jc w:val="right"/>
              <w:rPr>
                <w:rFonts w:ascii="PT Astra Serif" w:hAnsi="PT Astra Serif"/>
              </w:rPr>
            </w:pPr>
          </w:p>
        </w:tc>
      </w:tr>
      <w:tr w:rsidR="00A12534" w:rsidRPr="00A12534" w:rsidTr="00A12534">
        <w:trPr>
          <w:jc w:val="center"/>
        </w:trPr>
        <w:tc>
          <w:tcPr>
            <w:tcW w:w="9571" w:type="dxa"/>
          </w:tcPr>
          <w:p w:rsidR="00A12534" w:rsidRDefault="00A12534" w:rsidP="00054AB9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A1253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УДК 664.953:597.555.51 </w:t>
            </w:r>
          </w:p>
          <w:p w:rsidR="00054AB9" w:rsidRPr="00A12534" w:rsidRDefault="00054AB9" w:rsidP="00054AB9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  <w:p w:rsidR="00A12534" w:rsidRDefault="00A12534" w:rsidP="00054AB9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A12534">
              <w:rPr>
                <w:rFonts w:ascii="PT Astra Serif" w:hAnsi="PT Astra Serif"/>
                <w:b/>
                <w:bCs/>
                <w:sz w:val="22"/>
                <w:szCs w:val="22"/>
              </w:rPr>
              <w:t>А.Ю. Глухарев, Л.К. Куранова, В.А. Гроховский, В.И. Волченко</w:t>
            </w:r>
          </w:p>
          <w:p w:rsidR="00054AB9" w:rsidRPr="00A12534" w:rsidRDefault="00054AB9" w:rsidP="00054AB9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12534" w:rsidRDefault="00A12534" w:rsidP="00054AB9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A12534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ОПТИМИЗАЦИЯ РЕЦЕПТУРНОГО СОСТАВА КОНСЕРВОВ </w:t>
            </w:r>
            <w:r w:rsidR="00054AB9">
              <w:rPr>
                <w:rFonts w:ascii="PT Astra Serif" w:hAnsi="PT Astra Serif"/>
                <w:b/>
                <w:bCs/>
                <w:sz w:val="22"/>
                <w:szCs w:val="22"/>
              </w:rPr>
              <w:br/>
            </w:r>
            <w:r w:rsidRPr="00A12534">
              <w:rPr>
                <w:rFonts w:ascii="PT Astra Serif" w:hAnsi="PT Astra Serif"/>
                <w:b/>
                <w:bCs/>
                <w:sz w:val="22"/>
                <w:szCs w:val="22"/>
              </w:rPr>
              <w:t>ИЗ МОРОЖЕНЫХ ГОНАД И ЖИРА ПЕЧЕНИ ТРЕСКИ</w:t>
            </w:r>
          </w:p>
          <w:p w:rsidR="00054AB9" w:rsidRPr="00A12534" w:rsidRDefault="00054AB9" w:rsidP="00054AB9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12534" w:rsidRPr="00A12534" w:rsidRDefault="00A12534" w:rsidP="00054AB9">
            <w:pPr>
              <w:pStyle w:val="Default"/>
              <w:ind w:firstLine="39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12534">
              <w:rPr>
                <w:rFonts w:ascii="PT Astra Serif" w:hAnsi="PT Astra Serif"/>
                <w:sz w:val="22"/>
                <w:szCs w:val="22"/>
              </w:rPr>
              <w:t>Разработан новый ассортимент консервов паштетного ряда из мороженых гонад и полуфабр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и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ката жира печени трески с условным названием «Энергия Заполярья». С использованием теории планирования эксперимента и метода компьютерного моделирования разработана серия рецептур паштетов с разными дозировками основных компонентов. Для оценки степени оптимальности в</w:t>
            </w:r>
            <w:r w:rsidRPr="00A12534">
              <w:rPr>
                <w:rFonts w:ascii="PT Astra Serif" w:hAnsi="PT Astra Serif"/>
                <w:sz w:val="22"/>
                <w:szCs w:val="22"/>
              </w:rPr>
              <w:t>ы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браны органолептические характеристики и структурно-механический показатель – число пене</w:t>
            </w:r>
            <w:r w:rsidRPr="00A12534">
              <w:rPr>
                <w:rFonts w:ascii="PT Astra Serif" w:hAnsi="PT Astra Serif"/>
                <w:sz w:val="22"/>
                <w:szCs w:val="22"/>
              </w:rPr>
              <w:t>т</w:t>
            </w:r>
            <w:r w:rsidRPr="00A12534">
              <w:rPr>
                <w:rFonts w:ascii="PT Astra Serif" w:hAnsi="PT Astra Serif"/>
                <w:sz w:val="22"/>
                <w:szCs w:val="22"/>
              </w:rPr>
              <w:t>рации. Его оптимальное значение определяли методом парной нелинейной регрессии между ним и показателем консистенции. Разработан обобщенный параметр оптимизации с использованием к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о</w:t>
            </w:r>
            <w:r w:rsidRPr="00A12534">
              <w:rPr>
                <w:rFonts w:ascii="PT Astra Serif" w:hAnsi="PT Astra Serif"/>
                <w:sz w:val="22"/>
                <w:szCs w:val="22"/>
              </w:rPr>
              <w:t>эффициентов значимости, определенных экспериментальным путем. Полученное уравнение ре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г</w:t>
            </w:r>
            <w:r w:rsidRPr="00A12534">
              <w:rPr>
                <w:rFonts w:ascii="PT Astra Serif" w:hAnsi="PT Astra Serif"/>
                <w:sz w:val="22"/>
                <w:szCs w:val="22"/>
              </w:rPr>
              <w:t>рессии позволило найти оптимальное соотношение основных компонентов (% от массы рыбного сырья): икра трески – 39,86%, полуфабрикат жира печени трески – 19,50%, молоки трески – 40,64%. На его основе оптимизирована рецептура паштетных консервов. Разработан режим стер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и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лизации консервов для банки № 2, фактическая летальность для микроорганизмов составила 6,6 усл. мин. Консервы «Энергия Заполярья» по содержанию полиненасыщенных жирных кислот м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о</w:t>
            </w:r>
            <w:r w:rsidRPr="00A12534">
              <w:rPr>
                <w:rFonts w:ascii="PT Astra Serif" w:hAnsi="PT Astra Serif"/>
                <w:sz w:val="22"/>
                <w:szCs w:val="22"/>
              </w:rPr>
              <w:t xml:space="preserve">гут быть отнесены к функциональным продуктам высокой энергетической ценности. </w:t>
            </w:r>
          </w:p>
          <w:p w:rsidR="00054AB9" w:rsidRDefault="00054AB9" w:rsidP="00054AB9">
            <w:pPr>
              <w:pStyle w:val="Default"/>
              <w:ind w:firstLine="397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A12534" w:rsidRPr="00A12534" w:rsidRDefault="00A12534" w:rsidP="00054AB9">
            <w:pPr>
              <w:pStyle w:val="Default"/>
              <w:ind w:firstLine="39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12534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Ключевые слова: </w:t>
            </w:r>
            <w:r w:rsidRPr="00A12534">
              <w:rPr>
                <w:rFonts w:ascii="PT Astra Serif" w:hAnsi="PT Astra Serif"/>
                <w:sz w:val="22"/>
                <w:szCs w:val="22"/>
              </w:rPr>
              <w:t xml:space="preserve">консервы, оптимизация, паштет, гонады, икра, молоки, полуфабрикат жира печени трески, число пенетрации, режим стерилизации, функциональный продукт. </w:t>
            </w:r>
          </w:p>
          <w:p w:rsidR="00054AB9" w:rsidRDefault="00054AB9" w:rsidP="00A12534">
            <w:pPr>
              <w:ind w:firstLine="397"/>
              <w:rPr>
                <w:rFonts w:ascii="PT Astra Serif" w:hAnsi="PT Astra Serif"/>
                <w:i/>
                <w:iCs/>
              </w:rPr>
            </w:pPr>
          </w:p>
          <w:p w:rsidR="00A12534" w:rsidRDefault="00A12534" w:rsidP="00054AB9">
            <w:pPr>
              <w:ind w:firstLine="397"/>
              <w:jc w:val="right"/>
              <w:rPr>
                <w:rFonts w:ascii="PT Astra Serif" w:hAnsi="PT Astra Serif"/>
                <w:i/>
                <w:iCs/>
              </w:rPr>
            </w:pPr>
            <w:r w:rsidRPr="00A12534">
              <w:rPr>
                <w:rFonts w:ascii="PT Astra Serif" w:hAnsi="PT Astra Serif"/>
                <w:i/>
                <w:iCs/>
              </w:rPr>
              <w:t>DOI: 10.17217/2079-0333-2018-45-18-27</w:t>
            </w:r>
          </w:p>
          <w:p w:rsidR="00054AB9" w:rsidRPr="00A12534" w:rsidRDefault="00054AB9" w:rsidP="00A12534">
            <w:pPr>
              <w:ind w:firstLine="397"/>
              <w:rPr>
                <w:rFonts w:ascii="PT Astra Serif" w:hAnsi="PT Astra Serif"/>
              </w:rPr>
            </w:pPr>
          </w:p>
        </w:tc>
      </w:tr>
      <w:tr w:rsidR="00A12534" w:rsidRPr="00A12534" w:rsidTr="00A12534">
        <w:trPr>
          <w:jc w:val="center"/>
        </w:trPr>
        <w:tc>
          <w:tcPr>
            <w:tcW w:w="9571" w:type="dxa"/>
          </w:tcPr>
          <w:p w:rsidR="00A12534" w:rsidRPr="00A12534" w:rsidRDefault="00A12534" w:rsidP="00054AB9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A12534">
              <w:rPr>
                <w:rFonts w:ascii="PT Astra Serif" w:hAnsi="PT Astra Serif"/>
                <w:sz w:val="22"/>
                <w:szCs w:val="22"/>
              </w:rPr>
              <w:t xml:space="preserve">УДК 664.959.5:597.555.51 </w:t>
            </w:r>
          </w:p>
          <w:p w:rsidR="00054AB9" w:rsidRDefault="00054AB9" w:rsidP="00054AB9">
            <w:pPr>
              <w:pStyle w:val="Default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A12534" w:rsidRDefault="00A12534" w:rsidP="00054AB9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A12534">
              <w:rPr>
                <w:rFonts w:ascii="PT Astra Serif" w:hAnsi="PT Astra Serif"/>
                <w:b/>
                <w:bCs/>
                <w:sz w:val="22"/>
                <w:szCs w:val="22"/>
              </w:rPr>
              <w:t>Ю.В. Живлянцева, Л.К. Куранова, В.И. Волченко, В.А. Гроховский</w:t>
            </w:r>
          </w:p>
          <w:p w:rsidR="00054AB9" w:rsidRPr="00A12534" w:rsidRDefault="00054AB9" w:rsidP="00054AB9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12534" w:rsidRDefault="00A12534" w:rsidP="00054AB9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A12534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ПЕПТОН ИЗ ВТОРИЧНЫХ ПРОДУКТОВ ПЕРЕРАБОТКИ </w:t>
            </w:r>
            <w:r w:rsidR="00054AB9">
              <w:rPr>
                <w:rFonts w:ascii="PT Astra Serif" w:hAnsi="PT Astra Serif"/>
                <w:b/>
                <w:bCs/>
                <w:sz w:val="22"/>
                <w:szCs w:val="22"/>
              </w:rPr>
              <w:br/>
            </w:r>
            <w:r w:rsidRPr="00A12534">
              <w:rPr>
                <w:rFonts w:ascii="PT Astra Serif" w:hAnsi="PT Astra Serif"/>
                <w:b/>
                <w:bCs/>
                <w:sz w:val="22"/>
                <w:szCs w:val="22"/>
              </w:rPr>
              <w:t>АТЛАНТИЧЕСКОЙ ТРЕСКИ: ТЕХНОЛОГИЯ, КАЧЕСТВО, ИСПОЛЬЗОВАНИЕ</w:t>
            </w:r>
          </w:p>
          <w:p w:rsidR="00054AB9" w:rsidRPr="00A12534" w:rsidRDefault="00054AB9" w:rsidP="00054AB9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  <w:p w:rsidR="00A12534" w:rsidRPr="00A12534" w:rsidRDefault="00A12534" w:rsidP="00054AB9">
            <w:pPr>
              <w:pStyle w:val="Default"/>
              <w:ind w:firstLine="39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12534">
              <w:rPr>
                <w:rFonts w:ascii="PT Astra Serif" w:hAnsi="PT Astra Serif"/>
                <w:sz w:val="22"/>
                <w:szCs w:val="22"/>
              </w:rPr>
              <w:t>Результатами микробиологических и токсикологических испытаний определена безопасность отходов от разделки на филе трески. Костно-мышечные отходы трески содержат 18,95% полн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о</w:t>
            </w:r>
            <w:r w:rsidRPr="00A12534">
              <w:rPr>
                <w:rFonts w:ascii="PT Astra Serif" w:hAnsi="PT Astra Serif"/>
                <w:sz w:val="22"/>
                <w:szCs w:val="22"/>
              </w:rPr>
              <w:t>ценного белка животного происхождения и 0,15% жира, что доказывает целесообразность их и</w:t>
            </w:r>
            <w:r w:rsidRPr="00A12534">
              <w:rPr>
                <w:rFonts w:ascii="PT Astra Serif" w:hAnsi="PT Astra Serif"/>
                <w:sz w:val="22"/>
                <w:szCs w:val="22"/>
              </w:rPr>
              <w:t>с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пользования для выработки пептонов. Разработана и оптимизирована технология получения пе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п</w:t>
            </w:r>
            <w:r w:rsidRPr="00A12534">
              <w:rPr>
                <w:rFonts w:ascii="PT Astra Serif" w:hAnsi="PT Astra Serif"/>
                <w:sz w:val="22"/>
                <w:szCs w:val="22"/>
              </w:rPr>
              <w:t>тона из отходов от разделки на филе трески. На стадии измельчения отходов авторами статьи предложен метод криоэкструзии. Обосновано использование при гидролизе протеинов фермен</w:t>
            </w:r>
            <w:r w:rsidRPr="00A12534">
              <w:rPr>
                <w:rFonts w:ascii="PT Astra Serif" w:hAnsi="PT Astra Serif"/>
                <w:sz w:val="22"/>
                <w:szCs w:val="22"/>
              </w:rPr>
              <w:t>т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ного препарата (протосубтилина Г3Х). Определена его протеолитическая активность, составившая 560,77 мкмоль TYR/г, оптимальная температура ферментативного гидролиза, равная (45 ± 1)ºС. С применением теории планирования эксперимента и компьютерного моделирования выполнена серия экспериментов по оптимизации стадии ферментативного гидролиза рыбных отходов. На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й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дены близкие к оптимальным концентрация ферментного препарата (1,33% к суммарной массе отходов) и продолжительность процесса гидролиза (3 ч). Определены химические и биохимич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е</w:t>
            </w:r>
            <w:r w:rsidRPr="00A12534">
              <w:rPr>
                <w:rFonts w:ascii="PT Astra Serif" w:hAnsi="PT Astra Serif"/>
                <w:sz w:val="22"/>
                <w:szCs w:val="22"/>
              </w:rPr>
              <w:lastRenderedPageBreak/>
              <w:t>ские показатели качества пептона, выработанного по оптимизированной технологии. Установлено, что массовая доля белка в полученном образце составляет 92,27%, воды – 4,7%, хлористого натрия – 2,6%, жира – 0,3%. Определен аминокислотный состав полученного продукта, рассчитана его биологическая ценность. Отмечено, что в белке пептона лимитирующей аминокислотой является триптофан, скор которого составляет 66,8%, коэффициент рациональности продукта – 0,42. Это характеризует его как сбалансированный белковый продукт, который может быть рекомендован для применения в качестве полноценной белковой основы для производства продуктов спортивн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о</w:t>
            </w:r>
            <w:r w:rsidRPr="00A12534">
              <w:rPr>
                <w:rFonts w:ascii="PT Astra Serif" w:hAnsi="PT Astra Serif"/>
                <w:sz w:val="22"/>
                <w:szCs w:val="22"/>
              </w:rPr>
              <w:t xml:space="preserve">го питания. </w:t>
            </w:r>
          </w:p>
          <w:p w:rsidR="00054AB9" w:rsidRDefault="00054AB9" w:rsidP="00054AB9">
            <w:pPr>
              <w:pStyle w:val="Default"/>
              <w:ind w:firstLine="397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A12534" w:rsidRPr="00A12534" w:rsidRDefault="00A12534" w:rsidP="00054AB9">
            <w:pPr>
              <w:pStyle w:val="Default"/>
              <w:ind w:firstLine="39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12534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Ключевые слова: 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протосубтилин, ферментативный пептон, аминокислотный состав, трипт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о</w:t>
            </w:r>
            <w:r w:rsidRPr="00A12534">
              <w:rPr>
                <w:rFonts w:ascii="PT Astra Serif" w:hAnsi="PT Astra Serif"/>
                <w:sz w:val="22"/>
                <w:szCs w:val="22"/>
              </w:rPr>
              <w:t xml:space="preserve">фан, сбалансированный белковый продукт, костно-мышечные отходы трески. </w:t>
            </w:r>
          </w:p>
          <w:p w:rsidR="00054AB9" w:rsidRDefault="00054AB9" w:rsidP="00A12534">
            <w:pPr>
              <w:pStyle w:val="Default"/>
              <w:ind w:firstLine="397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A12534" w:rsidRDefault="00A12534" w:rsidP="00054AB9">
            <w:pPr>
              <w:ind w:firstLine="397"/>
              <w:jc w:val="right"/>
              <w:rPr>
                <w:rFonts w:ascii="PT Astra Serif" w:hAnsi="PT Astra Serif"/>
                <w:i/>
                <w:iCs/>
              </w:rPr>
            </w:pPr>
            <w:r w:rsidRPr="00A12534">
              <w:rPr>
                <w:rFonts w:ascii="PT Astra Serif" w:hAnsi="PT Astra Serif"/>
                <w:i/>
                <w:iCs/>
              </w:rPr>
              <w:t>DOI: 10.17217/2079-0333-2018-45-28-36</w:t>
            </w:r>
          </w:p>
          <w:p w:rsidR="00054AB9" w:rsidRPr="00A12534" w:rsidRDefault="00054AB9" w:rsidP="00054AB9">
            <w:pPr>
              <w:ind w:firstLine="397"/>
              <w:jc w:val="right"/>
              <w:rPr>
                <w:rFonts w:ascii="PT Astra Serif" w:hAnsi="PT Astra Serif"/>
              </w:rPr>
            </w:pPr>
          </w:p>
        </w:tc>
      </w:tr>
      <w:tr w:rsidR="00A12534" w:rsidRPr="00A12534" w:rsidTr="00A12534">
        <w:trPr>
          <w:jc w:val="center"/>
        </w:trPr>
        <w:tc>
          <w:tcPr>
            <w:tcW w:w="9571" w:type="dxa"/>
          </w:tcPr>
          <w:p w:rsidR="00A12534" w:rsidRPr="00A12534" w:rsidRDefault="00A12534" w:rsidP="00054AB9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A1253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УДК 664.952/.957 </w:t>
            </w:r>
          </w:p>
          <w:p w:rsidR="00054AB9" w:rsidRDefault="00054AB9" w:rsidP="00054AB9">
            <w:pPr>
              <w:pStyle w:val="Default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A12534" w:rsidRDefault="00A12534" w:rsidP="00054AB9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A12534">
              <w:rPr>
                <w:rFonts w:ascii="PT Astra Serif" w:hAnsi="PT Astra Serif"/>
                <w:b/>
                <w:bCs/>
                <w:sz w:val="22"/>
                <w:szCs w:val="22"/>
              </w:rPr>
              <w:t>С.В. Журавлева, Т.М. Бойцова, Ж.Г. Прокопец, А.В. Журавлева</w:t>
            </w:r>
          </w:p>
          <w:p w:rsidR="00054AB9" w:rsidRPr="00A12534" w:rsidRDefault="00054AB9" w:rsidP="00054AB9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12534" w:rsidRDefault="00A12534" w:rsidP="00054AB9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A12534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ВЛИЯНИЕ БИОМОДИФИКАЦИИ </w:t>
            </w:r>
            <w:r w:rsidR="00054AB9">
              <w:rPr>
                <w:rFonts w:ascii="PT Astra Serif" w:hAnsi="PT Astra Serif"/>
                <w:b/>
                <w:bCs/>
                <w:sz w:val="22"/>
                <w:szCs w:val="22"/>
              </w:rPr>
              <w:br/>
            </w:r>
            <w:r w:rsidRPr="00A12534">
              <w:rPr>
                <w:rFonts w:ascii="PT Astra Serif" w:hAnsi="PT Astra Serif"/>
                <w:b/>
                <w:bCs/>
                <w:sz w:val="22"/>
                <w:szCs w:val="22"/>
              </w:rPr>
              <w:t>НА ОРГАНОЛЕПТИЧЕСКИЕ ПОКАЗАТЕЛИ МЫШЕЧНОЙ ТКАНИ РЫБ</w:t>
            </w:r>
          </w:p>
          <w:p w:rsidR="00054AB9" w:rsidRPr="00A12534" w:rsidRDefault="00054AB9" w:rsidP="00054AB9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  <w:p w:rsidR="00A12534" w:rsidRPr="00A12534" w:rsidRDefault="00A12534" w:rsidP="00054AB9">
            <w:pPr>
              <w:pStyle w:val="Default"/>
              <w:ind w:firstLine="39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12534">
              <w:rPr>
                <w:rFonts w:ascii="PT Astra Serif" w:hAnsi="PT Astra Serif"/>
                <w:sz w:val="22"/>
                <w:szCs w:val="22"/>
              </w:rPr>
              <w:t xml:space="preserve">Изучено влияние </w:t>
            </w:r>
            <w:r w:rsidRPr="00A12534">
              <w:rPr>
                <w:rFonts w:ascii="PT Astra Serif" w:hAnsi="PT Astra Serif"/>
                <w:i/>
                <w:iCs/>
                <w:sz w:val="22"/>
                <w:szCs w:val="22"/>
              </w:rPr>
              <w:t xml:space="preserve">Lbm. acidophilum, Bifidobacterium longum, Streptococcus salivarius spp. thermophilus 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на органолептические характеристики соленой мышечной ткани рыб с различной а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к</w:t>
            </w:r>
            <w:r w:rsidRPr="00A12534">
              <w:rPr>
                <w:rFonts w:ascii="PT Astra Serif" w:hAnsi="PT Astra Serif"/>
                <w:sz w:val="22"/>
                <w:szCs w:val="22"/>
              </w:rPr>
              <w:t>тивностью ферментных систем. Установлено положительное влияние биомодификации на орган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о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лептические характеристики мышечной ткани гидробионтов при использовании таких микроорг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а</w:t>
            </w:r>
            <w:r w:rsidRPr="00A12534">
              <w:rPr>
                <w:rFonts w:ascii="PT Astra Serif" w:hAnsi="PT Astra Serif"/>
                <w:sz w:val="22"/>
                <w:szCs w:val="22"/>
              </w:rPr>
              <w:t xml:space="preserve">низмов, как </w:t>
            </w:r>
            <w:r w:rsidRPr="00A12534">
              <w:rPr>
                <w:rFonts w:ascii="PT Astra Serif" w:hAnsi="PT Astra Serif"/>
                <w:i/>
                <w:iCs/>
                <w:sz w:val="22"/>
                <w:szCs w:val="22"/>
              </w:rPr>
              <w:t>Lbm</w:t>
            </w:r>
            <w:r w:rsidRPr="00A12534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r w:rsidRPr="00A12534">
              <w:rPr>
                <w:rFonts w:ascii="PT Astra Serif" w:hAnsi="PT Astra Serif"/>
                <w:i/>
                <w:iCs/>
                <w:sz w:val="22"/>
                <w:szCs w:val="22"/>
              </w:rPr>
              <w:t>acidophilum</w:t>
            </w:r>
            <w:r w:rsidRPr="00A12534">
              <w:rPr>
                <w:rFonts w:ascii="PT Astra Serif" w:hAnsi="PT Astra Serif"/>
                <w:sz w:val="22"/>
                <w:szCs w:val="22"/>
              </w:rPr>
              <w:t xml:space="preserve">, </w:t>
            </w:r>
            <w:r w:rsidRPr="00A12534">
              <w:rPr>
                <w:rFonts w:ascii="PT Astra Serif" w:hAnsi="PT Astra Serif"/>
                <w:i/>
                <w:iCs/>
                <w:sz w:val="22"/>
                <w:szCs w:val="22"/>
              </w:rPr>
              <w:t xml:space="preserve">Streptococcus salivarius spp. thermophilus. </w:t>
            </w:r>
            <w:r w:rsidRPr="00A12534">
              <w:rPr>
                <w:rFonts w:ascii="PT Astra Serif" w:hAnsi="PT Astra Serif"/>
                <w:sz w:val="22"/>
                <w:szCs w:val="22"/>
              </w:rPr>
              <w:t>Указано, что для биомодификации целесообразно использовать виды рыб с низкой активностью собственных фе</w:t>
            </w:r>
            <w:r w:rsidRPr="00A12534">
              <w:rPr>
                <w:rFonts w:ascii="PT Astra Serif" w:hAnsi="PT Astra Serif"/>
                <w:sz w:val="22"/>
                <w:szCs w:val="22"/>
              </w:rPr>
              <w:t>р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ментных систем. Отмечен дезодорирующий эффект биомодификации мышечной ткани минтая молочнокислыми микроорганизмами. Указано, что биомодификация молочнокислыми микроо</w:t>
            </w:r>
            <w:r w:rsidRPr="00A12534">
              <w:rPr>
                <w:rFonts w:ascii="PT Astra Serif" w:hAnsi="PT Astra Serif"/>
                <w:sz w:val="22"/>
                <w:szCs w:val="22"/>
              </w:rPr>
              <w:t>р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ганизмами мышечной ткани рыб с высокой активностью собственных ферментных систем, а та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к</w:t>
            </w:r>
            <w:r w:rsidRPr="00A12534">
              <w:rPr>
                <w:rFonts w:ascii="PT Astra Serif" w:hAnsi="PT Astra Serif"/>
                <w:sz w:val="22"/>
                <w:szCs w:val="22"/>
              </w:rPr>
              <w:t xml:space="preserve">же использование в качестве биомодификаторов процесса созревания </w:t>
            </w:r>
            <w:r w:rsidRPr="00A12534">
              <w:rPr>
                <w:rFonts w:ascii="PT Astra Serif" w:hAnsi="PT Astra Serif"/>
                <w:i/>
                <w:iCs/>
                <w:sz w:val="22"/>
                <w:szCs w:val="22"/>
              </w:rPr>
              <w:t xml:space="preserve">B. longum </w:t>
            </w:r>
            <w:r w:rsidRPr="00A12534">
              <w:rPr>
                <w:rFonts w:ascii="PT Astra Serif" w:hAnsi="PT Astra Serif"/>
                <w:sz w:val="22"/>
                <w:szCs w:val="22"/>
              </w:rPr>
              <w:t>является нецел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е</w:t>
            </w:r>
            <w:r w:rsidRPr="00A12534">
              <w:rPr>
                <w:rFonts w:ascii="PT Astra Serif" w:hAnsi="PT Astra Serif"/>
                <w:sz w:val="22"/>
                <w:szCs w:val="22"/>
              </w:rPr>
              <w:t xml:space="preserve">сообразным. </w:t>
            </w:r>
          </w:p>
          <w:p w:rsidR="00054AB9" w:rsidRDefault="00054AB9" w:rsidP="00054AB9">
            <w:pPr>
              <w:pStyle w:val="Default"/>
              <w:ind w:firstLine="397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A12534" w:rsidRPr="00A12534" w:rsidRDefault="00A12534" w:rsidP="00054AB9">
            <w:pPr>
              <w:pStyle w:val="Default"/>
              <w:ind w:firstLine="39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12534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Ключевые слова: </w:t>
            </w:r>
            <w:r w:rsidRPr="00A12534">
              <w:rPr>
                <w:rFonts w:ascii="PT Astra Serif" w:hAnsi="PT Astra Serif"/>
                <w:sz w:val="22"/>
                <w:szCs w:val="22"/>
              </w:rPr>
              <w:t xml:space="preserve">биомодификация, </w:t>
            </w:r>
            <w:r w:rsidRPr="00A12534">
              <w:rPr>
                <w:rFonts w:ascii="PT Astra Serif" w:hAnsi="PT Astra Serif"/>
                <w:i/>
                <w:iCs/>
                <w:sz w:val="22"/>
                <w:szCs w:val="22"/>
              </w:rPr>
              <w:t xml:space="preserve">Lbm. acidophilum, Bifidobacterium longum, Streptococcus salivarius spp. thermophilus, </w:t>
            </w:r>
            <w:r w:rsidRPr="00A12534">
              <w:rPr>
                <w:rFonts w:ascii="PT Astra Serif" w:hAnsi="PT Astra Serif"/>
                <w:sz w:val="22"/>
                <w:szCs w:val="22"/>
              </w:rPr>
              <w:t xml:space="preserve">мышечная ткань рыб, молочная сыворотка. </w:t>
            </w:r>
          </w:p>
          <w:p w:rsidR="00054AB9" w:rsidRDefault="00054AB9" w:rsidP="00A12534">
            <w:pPr>
              <w:pStyle w:val="Default"/>
              <w:ind w:firstLine="397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A12534" w:rsidRDefault="00A12534" w:rsidP="00054AB9">
            <w:pPr>
              <w:ind w:firstLine="397"/>
              <w:jc w:val="right"/>
              <w:rPr>
                <w:rFonts w:ascii="PT Astra Serif" w:hAnsi="PT Astra Serif"/>
                <w:i/>
                <w:iCs/>
              </w:rPr>
            </w:pPr>
            <w:r w:rsidRPr="00A12534">
              <w:rPr>
                <w:rFonts w:ascii="PT Astra Serif" w:hAnsi="PT Astra Serif"/>
                <w:i/>
                <w:iCs/>
              </w:rPr>
              <w:t>DOI: 10.17217/2079-0333-2018-45-37-42</w:t>
            </w:r>
          </w:p>
          <w:p w:rsidR="00054AB9" w:rsidRPr="00A12534" w:rsidRDefault="00054AB9" w:rsidP="00054AB9">
            <w:pPr>
              <w:ind w:firstLine="397"/>
              <w:jc w:val="right"/>
              <w:rPr>
                <w:rFonts w:ascii="PT Astra Serif" w:hAnsi="PT Astra Serif"/>
              </w:rPr>
            </w:pPr>
          </w:p>
        </w:tc>
      </w:tr>
      <w:tr w:rsidR="00A12534" w:rsidRPr="00A12534" w:rsidTr="00A12534">
        <w:trPr>
          <w:jc w:val="center"/>
        </w:trPr>
        <w:tc>
          <w:tcPr>
            <w:tcW w:w="9571" w:type="dxa"/>
          </w:tcPr>
          <w:p w:rsidR="00A12534" w:rsidRDefault="00A12534" w:rsidP="00C8282B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A12534">
              <w:rPr>
                <w:rFonts w:ascii="PT Astra Serif" w:hAnsi="PT Astra Serif"/>
                <w:sz w:val="22"/>
                <w:szCs w:val="22"/>
              </w:rPr>
              <w:t xml:space="preserve">УДК 664.143 </w:t>
            </w:r>
          </w:p>
          <w:p w:rsidR="00C8282B" w:rsidRPr="00A12534" w:rsidRDefault="00C8282B" w:rsidP="00C8282B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  <w:p w:rsidR="00A12534" w:rsidRDefault="00A12534" w:rsidP="00C8282B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A12534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Л.А. Надточий, А.И. Лепешкин, Е.Д. Дудник, </w:t>
            </w:r>
            <w:r w:rsidR="00C8282B">
              <w:rPr>
                <w:rFonts w:ascii="PT Astra Serif" w:hAnsi="PT Astra Serif"/>
                <w:b/>
                <w:bCs/>
                <w:sz w:val="22"/>
                <w:szCs w:val="22"/>
              </w:rPr>
              <w:br/>
            </w:r>
            <w:r w:rsidRPr="00A12534">
              <w:rPr>
                <w:rFonts w:ascii="PT Astra Serif" w:hAnsi="PT Astra Serif"/>
                <w:b/>
                <w:bCs/>
                <w:sz w:val="22"/>
                <w:szCs w:val="22"/>
              </w:rPr>
              <w:t>А.В. Проскура, М.Б. Мурадова, Р.М. Мельчаков</w:t>
            </w:r>
          </w:p>
          <w:p w:rsidR="00C8282B" w:rsidRPr="00A12534" w:rsidRDefault="00C8282B" w:rsidP="00C8282B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12534" w:rsidRDefault="00A12534" w:rsidP="00C8282B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A12534">
              <w:rPr>
                <w:rFonts w:ascii="PT Astra Serif" w:hAnsi="PT Astra Serif"/>
                <w:b/>
                <w:bCs/>
                <w:sz w:val="22"/>
                <w:szCs w:val="22"/>
              </w:rPr>
              <w:t>ВЛИЯНИЕ ТЕМПЕРАТУРНОГО РЕЖИМА НА ВЯЗКОСТНЫЕ СВОЙСТВА ГЛАЗУРИ</w:t>
            </w:r>
          </w:p>
          <w:p w:rsidR="00C8282B" w:rsidRPr="00A12534" w:rsidRDefault="00C8282B" w:rsidP="00C8282B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12534" w:rsidRPr="00A12534" w:rsidRDefault="00A12534" w:rsidP="00C8282B">
            <w:pPr>
              <w:pStyle w:val="Default"/>
              <w:ind w:firstLine="39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12534">
              <w:rPr>
                <w:rFonts w:ascii="PT Astra Serif" w:hAnsi="PT Astra Serif"/>
                <w:sz w:val="22"/>
                <w:szCs w:val="22"/>
              </w:rPr>
              <w:t>На различных этапах технологического процесса производства пищевой продукции важно учитывать реологические свойства пищевых систем, так как данные показатели оказывают сущ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е</w:t>
            </w:r>
            <w:r w:rsidRPr="00A12534">
              <w:rPr>
                <w:rFonts w:ascii="PT Astra Serif" w:hAnsi="PT Astra Serif"/>
                <w:sz w:val="22"/>
                <w:szCs w:val="22"/>
              </w:rPr>
              <w:t>ственное влияние на качество готового продукта. В настоящей работе проведены исследования влияния температуры плавления на структурно-механические свойства глазури для кондитерских изделий с использованием ротационного вискозиметра марки RHEOTEST. Объектом данного и</w:t>
            </w:r>
            <w:r w:rsidRPr="00A12534">
              <w:rPr>
                <w:rFonts w:ascii="PT Astra Serif" w:hAnsi="PT Astra Serif"/>
                <w:sz w:val="22"/>
                <w:szCs w:val="22"/>
              </w:rPr>
              <w:t>с</w:t>
            </w:r>
            <w:r w:rsidRPr="00A12534">
              <w:rPr>
                <w:rFonts w:ascii="PT Astra Serif" w:hAnsi="PT Astra Serif"/>
                <w:sz w:val="22"/>
                <w:szCs w:val="22"/>
              </w:rPr>
              <w:t>следования служила пищевая глазурь, разработанная в качестве покрытия батончиков-мюсли. И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з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меняющимся входящим параметром эксперимента выбрана температура плавления глазури, на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и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более часто используемая в кондитерской промышленности, в частности 85, 90 и 95ºС. Оценива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е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мым параметром эксперимента была эффективная вязкость глазури при различном мех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а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ническом воздействии на объект исследования со скоростью сдвига от 1 до 102 с</w:t>
            </w:r>
            <w:r w:rsidRPr="00C8282B">
              <w:rPr>
                <w:rFonts w:ascii="PT Astra Serif" w:hAnsi="PT Astra Serif"/>
                <w:sz w:val="22"/>
                <w:szCs w:val="22"/>
                <w:vertAlign w:val="superscript"/>
              </w:rPr>
              <w:t>–1</w:t>
            </w:r>
            <w:r w:rsidRPr="00A12534">
              <w:rPr>
                <w:rFonts w:ascii="PT Astra Serif" w:hAnsi="PT Astra Serif"/>
                <w:sz w:val="22"/>
                <w:szCs w:val="22"/>
              </w:rPr>
              <w:t>. С целью изучения тикс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о</w:t>
            </w:r>
            <w:r w:rsidRPr="00A12534">
              <w:rPr>
                <w:rFonts w:ascii="PT Astra Serif" w:hAnsi="PT Astra Serif"/>
                <w:sz w:val="22"/>
                <w:szCs w:val="22"/>
              </w:rPr>
              <w:t>тропных свойств образцов глазури оценивали способность к восстанавливаемости структуры п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о</w:t>
            </w:r>
            <w:r w:rsidRPr="00A12534">
              <w:rPr>
                <w:rFonts w:ascii="PT Astra Serif" w:hAnsi="PT Astra Serif"/>
                <w:sz w:val="22"/>
                <w:szCs w:val="22"/>
              </w:rPr>
              <w:t xml:space="preserve">сле механического воздействия по истечении 15 минут в состоянии покоя, после чего </w:t>
            </w:r>
            <w:r w:rsidRPr="00A12534">
              <w:rPr>
                <w:rFonts w:ascii="PT Astra Serif" w:hAnsi="PT Astra Serif"/>
                <w:sz w:val="22"/>
                <w:szCs w:val="22"/>
              </w:rPr>
              <w:lastRenderedPageBreak/>
              <w:t>измеряли эффективную вязкость образцов глазури в обратном порядке (со скоростью сдвига от 102 до 1 с</w:t>
            </w:r>
            <w:r w:rsidRPr="00C8282B">
              <w:rPr>
                <w:rFonts w:ascii="PT Astra Serif" w:hAnsi="PT Astra Serif"/>
                <w:sz w:val="22"/>
                <w:szCs w:val="22"/>
                <w:vertAlign w:val="superscript"/>
              </w:rPr>
              <w:t>–1</w:t>
            </w:r>
            <w:r w:rsidRPr="00A12534">
              <w:rPr>
                <w:rFonts w:ascii="PT Astra Serif" w:hAnsi="PT Astra Serif"/>
                <w:sz w:val="22"/>
                <w:szCs w:val="22"/>
              </w:rPr>
              <w:t>). В результате данного исследования доказано влияние температурного режима на э</w:t>
            </w:r>
            <w:r w:rsidRPr="00A12534">
              <w:rPr>
                <w:rFonts w:ascii="PT Astra Serif" w:hAnsi="PT Astra Serif"/>
                <w:sz w:val="22"/>
                <w:szCs w:val="22"/>
              </w:rPr>
              <w:t>ф</w:t>
            </w:r>
            <w:r w:rsidRPr="00A12534">
              <w:rPr>
                <w:rFonts w:ascii="PT Astra Serif" w:hAnsi="PT Astra Serif"/>
                <w:sz w:val="22"/>
                <w:szCs w:val="22"/>
              </w:rPr>
              <w:t>фективную вязкость глазури: при 85ºС глазурь не затвердевает из-за максимального значения к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о</w:t>
            </w:r>
            <w:r w:rsidRPr="00A12534">
              <w:rPr>
                <w:rFonts w:ascii="PT Astra Serif" w:hAnsi="PT Astra Serif"/>
                <w:sz w:val="22"/>
                <w:szCs w:val="22"/>
              </w:rPr>
              <w:t>эффициента вязкости, данная температура является оптимальной по показателю степени восст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а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навливаемости исследуемого продукта; при 90ºС зависимость эффективной вязкости от скорости сдвига была н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и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же на 5% по сравнению с образцом при 85ºС; при 95ºС продукт показал самые ни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з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кие значения коэффициента эффективной вязкости. Образец глазури, выработанный при рекомендуемой темп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е</w:t>
            </w:r>
            <w:r w:rsidRPr="00A12534">
              <w:rPr>
                <w:rFonts w:ascii="PT Astra Serif" w:hAnsi="PT Astra Serif"/>
                <w:sz w:val="22"/>
                <w:szCs w:val="22"/>
              </w:rPr>
              <w:t>ратуре плавления (85ºС), был проанализирован с точки зрения консистенции готов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о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го продукта с помощью автоматического цифрового пенетрометра, что позволило охарактеризовать глазурь как слишком твердый объект с ограниченной возможностью к растек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а</w:t>
            </w:r>
            <w:r w:rsidRPr="00A12534">
              <w:rPr>
                <w:rFonts w:ascii="PT Astra Serif" w:hAnsi="PT Astra Serif"/>
                <w:sz w:val="22"/>
                <w:szCs w:val="22"/>
              </w:rPr>
              <w:t xml:space="preserve">нию. </w:t>
            </w:r>
          </w:p>
          <w:p w:rsidR="00C8282B" w:rsidRDefault="00C8282B" w:rsidP="00C8282B">
            <w:pPr>
              <w:pStyle w:val="Default"/>
              <w:ind w:firstLine="397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A12534" w:rsidRPr="00A12534" w:rsidRDefault="00A12534" w:rsidP="00C8282B">
            <w:pPr>
              <w:pStyle w:val="Default"/>
              <w:ind w:firstLine="39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12534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Ключевые слова: </w:t>
            </w:r>
            <w:r w:rsidRPr="00A12534">
              <w:rPr>
                <w:rFonts w:ascii="PT Astra Serif" w:hAnsi="PT Astra Serif"/>
                <w:sz w:val="22"/>
                <w:szCs w:val="22"/>
              </w:rPr>
              <w:t xml:space="preserve">глазурь, реологические свойства, эффективная вязкость, тиксотропные свойства, скорость сдвига, температура плавления, пенетрация, консистенция. </w:t>
            </w:r>
          </w:p>
          <w:p w:rsidR="00C8282B" w:rsidRDefault="00C8282B" w:rsidP="00A12534">
            <w:pPr>
              <w:pStyle w:val="Default"/>
              <w:ind w:firstLine="397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A12534" w:rsidRPr="00A12534" w:rsidRDefault="00A12534" w:rsidP="00C8282B">
            <w:pPr>
              <w:ind w:firstLine="397"/>
              <w:jc w:val="right"/>
              <w:rPr>
                <w:rFonts w:ascii="PT Astra Serif" w:hAnsi="PT Astra Serif"/>
              </w:rPr>
            </w:pPr>
            <w:r w:rsidRPr="00A12534">
              <w:rPr>
                <w:rFonts w:ascii="PT Astra Serif" w:hAnsi="PT Astra Serif"/>
                <w:i/>
                <w:iCs/>
              </w:rPr>
              <w:t>DOI: 10.17217/2079-0333-2018-45-43-49</w:t>
            </w:r>
          </w:p>
        </w:tc>
      </w:tr>
      <w:tr w:rsidR="00A12534" w:rsidRPr="00A12534" w:rsidTr="00A12534">
        <w:trPr>
          <w:jc w:val="center"/>
        </w:trPr>
        <w:tc>
          <w:tcPr>
            <w:tcW w:w="9571" w:type="dxa"/>
          </w:tcPr>
          <w:p w:rsidR="00A12534" w:rsidRPr="00A12534" w:rsidRDefault="00A12534" w:rsidP="00C8282B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A1253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УДК 634.5:637.514 </w:t>
            </w:r>
          </w:p>
          <w:p w:rsidR="00C8282B" w:rsidRDefault="00C8282B" w:rsidP="00C8282B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A12534" w:rsidRDefault="00A12534" w:rsidP="00C8282B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A12534">
              <w:rPr>
                <w:rFonts w:ascii="PT Astra Serif" w:hAnsi="PT Astra Serif"/>
                <w:b/>
                <w:bCs/>
                <w:sz w:val="22"/>
                <w:szCs w:val="22"/>
              </w:rPr>
              <w:t>Н.Л. Наумова, A.В. Бучель, А.А. Лукин, И.Ю. Мигуля</w:t>
            </w:r>
          </w:p>
          <w:p w:rsidR="00C8282B" w:rsidRPr="00A12534" w:rsidRDefault="00C8282B" w:rsidP="00C8282B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8282B" w:rsidRDefault="00A12534" w:rsidP="00C8282B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A12534">
              <w:rPr>
                <w:rFonts w:ascii="PT Astra Serif" w:hAnsi="PT Astra Serif"/>
                <w:b/>
                <w:bCs/>
                <w:sz w:val="22"/>
                <w:szCs w:val="22"/>
              </w:rPr>
              <w:t>РЕЗУЛЬТАТЫ ИССЛЕДОВАНИЙ ПРИМЕНЕНИЯ ЖМЫХА ЯДЕР КЕДРОВОГО ОРЕХА</w:t>
            </w:r>
          </w:p>
          <w:p w:rsidR="00A12534" w:rsidRDefault="00A12534" w:rsidP="00C8282B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A12534">
              <w:rPr>
                <w:rFonts w:ascii="PT Astra Serif" w:hAnsi="PT Astra Serif"/>
                <w:b/>
                <w:bCs/>
                <w:sz w:val="22"/>
                <w:szCs w:val="22"/>
              </w:rPr>
              <w:t>В РЕЦЕПТУРЕ ПЕЧЕНОЧНОГО ПАШТЕТА</w:t>
            </w:r>
          </w:p>
          <w:p w:rsidR="00C8282B" w:rsidRPr="00A12534" w:rsidRDefault="00C8282B" w:rsidP="00C8282B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12534" w:rsidRPr="00A12534" w:rsidRDefault="00A12534" w:rsidP="00C8282B">
            <w:pPr>
              <w:pStyle w:val="Default"/>
              <w:ind w:firstLine="39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12534">
              <w:rPr>
                <w:rFonts w:ascii="PT Astra Serif" w:hAnsi="PT Astra Serif"/>
                <w:sz w:val="22"/>
                <w:szCs w:val="22"/>
              </w:rPr>
              <w:t>В работе изучена возможность использования жмыха ядер кедрового ореха в приготовлении печеночного паштета. Замещение в печеночном паштете 10,0% говяжьей печени на аналогичное количество молотого жмыха ядер кедрового ореха способствует формированию слегка сладков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а</w:t>
            </w:r>
            <w:r w:rsidRPr="00A12534">
              <w:rPr>
                <w:rFonts w:ascii="PT Astra Serif" w:hAnsi="PT Astra Serif"/>
                <w:sz w:val="22"/>
                <w:szCs w:val="22"/>
              </w:rPr>
              <w:t>того вкуса и более нежной консистенции готового продукта; увеличению содержания белка (на 14,9%), зольности (на 11,6%), минералов – марганца (в 4 раза), магния (в 2,5 раза), фосфора (в 1,6 раза), кальция и меди (в 1,4 раза), цинка (на 15,5%), железа (на 7,4%); снижению содержания в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и</w:t>
            </w:r>
            <w:r w:rsidRPr="00A12534">
              <w:rPr>
                <w:rFonts w:ascii="PT Astra Serif" w:hAnsi="PT Astra Serif"/>
                <w:sz w:val="22"/>
                <w:szCs w:val="22"/>
              </w:rPr>
              <w:t>тамина А на 27,5% при стабильных количествах витаминов Е и D</w:t>
            </w:r>
            <w:r w:rsidRPr="005C6FFC">
              <w:rPr>
                <w:rFonts w:ascii="PT Astra Serif" w:hAnsi="PT Astra Serif"/>
                <w:sz w:val="22"/>
                <w:szCs w:val="22"/>
                <w:vertAlign w:val="subscript"/>
              </w:rPr>
              <w:t>3</w:t>
            </w:r>
            <w:r w:rsidRPr="00A12534">
              <w:rPr>
                <w:rFonts w:ascii="PT Astra Serif" w:hAnsi="PT Astra Serif"/>
                <w:sz w:val="22"/>
                <w:szCs w:val="22"/>
              </w:rPr>
              <w:t>. Добавление жмыха в рецепт</w:t>
            </w:r>
            <w:r w:rsidRPr="00A12534">
              <w:rPr>
                <w:rFonts w:ascii="PT Astra Serif" w:hAnsi="PT Astra Serif"/>
                <w:sz w:val="22"/>
                <w:szCs w:val="22"/>
              </w:rPr>
              <w:t>у</w:t>
            </w:r>
            <w:r w:rsidRPr="00A12534">
              <w:rPr>
                <w:rFonts w:ascii="PT Astra Serif" w:hAnsi="PT Astra Serif"/>
                <w:sz w:val="22"/>
                <w:szCs w:val="22"/>
              </w:rPr>
              <w:t xml:space="preserve">ру печеночного паштета в предлагаемой дозировке не оказывает негативного влияния на физико-химические и микробиологические показатели качества готового продукта. Впервые установлена практическая возможность применения молотого жмыха ядер кедрового ореха в количестве 10,0% в производстве печеночного паштета повышенной минеральной ценности. </w:t>
            </w:r>
          </w:p>
          <w:p w:rsidR="00C8282B" w:rsidRDefault="00C8282B" w:rsidP="00C8282B">
            <w:pPr>
              <w:pStyle w:val="Default"/>
              <w:ind w:firstLine="397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A12534" w:rsidRPr="00A12534" w:rsidRDefault="00A12534" w:rsidP="00C8282B">
            <w:pPr>
              <w:pStyle w:val="Default"/>
              <w:ind w:firstLine="39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12534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Ключевые слова: </w:t>
            </w:r>
            <w:r w:rsidRPr="00A12534">
              <w:rPr>
                <w:rFonts w:ascii="PT Astra Serif" w:hAnsi="PT Astra Serif"/>
                <w:sz w:val="22"/>
                <w:szCs w:val="22"/>
              </w:rPr>
              <w:t xml:space="preserve">печеночный паштет, жмых ядер кедрового ореха, минеральная ценность. </w:t>
            </w:r>
          </w:p>
          <w:p w:rsidR="00C8282B" w:rsidRDefault="00C8282B" w:rsidP="00A12534">
            <w:pPr>
              <w:ind w:firstLine="397"/>
              <w:rPr>
                <w:rFonts w:ascii="PT Astra Serif" w:hAnsi="PT Astra Serif"/>
                <w:i/>
                <w:iCs/>
              </w:rPr>
            </w:pPr>
          </w:p>
          <w:p w:rsidR="00A12534" w:rsidRDefault="00A12534" w:rsidP="00C8282B">
            <w:pPr>
              <w:ind w:firstLine="397"/>
              <w:jc w:val="right"/>
              <w:rPr>
                <w:rFonts w:ascii="PT Astra Serif" w:hAnsi="PT Astra Serif"/>
                <w:i/>
                <w:iCs/>
              </w:rPr>
            </w:pPr>
            <w:r w:rsidRPr="00A12534">
              <w:rPr>
                <w:rFonts w:ascii="PT Astra Serif" w:hAnsi="PT Astra Serif"/>
                <w:i/>
                <w:iCs/>
              </w:rPr>
              <w:t>DOI: 10.17217/2079-0333-2018-45-50-57</w:t>
            </w:r>
          </w:p>
          <w:p w:rsidR="00C8282B" w:rsidRPr="00A12534" w:rsidRDefault="00C8282B" w:rsidP="00C8282B">
            <w:pPr>
              <w:ind w:firstLine="397"/>
              <w:jc w:val="right"/>
              <w:rPr>
                <w:rFonts w:ascii="PT Astra Serif" w:hAnsi="PT Astra Serif"/>
              </w:rPr>
            </w:pPr>
          </w:p>
        </w:tc>
      </w:tr>
      <w:tr w:rsidR="00A12534" w:rsidRPr="00A12534" w:rsidTr="00A12534">
        <w:trPr>
          <w:jc w:val="center"/>
        </w:trPr>
        <w:tc>
          <w:tcPr>
            <w:tcW w:w="9571" w:type="dxa"/>
          </w:tcPr>
          <w:p w:rsidR="00A12534" w:rsidRPr="00A12534" w:rsidRDefault="00A12534" w:rsidP="00C8282B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A12534">
              <w:rPr>
                <w:rFonts w:ascii="PT Astra Serif" w:hAnsi="PT Astra Serif"/>
                <w:sz w:val="22"/>
                <w:szCs w:val="22"/>
              </w:rPr>
              <w:t xml:space="preserve">УДК 664.858 </w:t>
            </w:r>
          </w:p>
          <w:p w:rsidR="00C8282B" w:rsidRDefault="00C8282B" w:rsidP="00C8282B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A12534" w:rsidRDefault="00A12534" w:rsidP="00C8282B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A12534">
              <w:rPr>
                <w:rFonts w:ascii="PT Astra Serif" w:hAnsi="PT Astra Serif"/>
                <w:b/>
                <w:bCs/>
                <w:sz w:val="22"/>
                <w:szCs w:val="22"/>
              </w:rPr>
              <w:t>Н.А. Фролова</w:t>
            </w:r>
          </w:p>
          <w:p w:rsidR="00C8282B" w:rsidRPr="00A12534" w:rsidRDefault="00C8282B" w:rsidP="00C8282B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8282B" w:rsidRDefault="00A12534" w:rsidP="00C8282B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A12534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ОПТИМИЗАЦИЯ РЕЦЕПТУРНОГО СОСТАВА МАРМЕЛАДА </w:t>
            </w:r>
          </w:p>
          <w:p w:rsidR="00A12534" w:rsidRDefault="00A12534" w:rsidP="00C8282B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A12534">
              <w:rPr>
                <w:rFonts w:ascii="PT Astra Serif" w:hAnsi="PT Astra Serif"/>
                <w:b/>
                <w:bCs/>
                <w:sz w:val="22"/>
                <w:szCs w:val="22"/>
              </w:rPr>
              <w:t>ЗА СЧЕТ ВВЕДЕНИЯ ПЛОДОВО-ЯГОДНОГО СЫРЬЯ АМУРСКОЙ ОБЛАСТИ</w:t>
            </w:r>
          </w:p>
          <w:p w:rsidR="00C8282B" w:rsidRPr="00A12534" w:rsidRDefault="00C8282B" w:rsidP="00C8282B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12534" w:rsidRPr="00A12534" w:rsidRDefault="00A12534" w:rsidP="00C8282B">
            <w:pPr>
              <w:pStyle w:val="Default"/>
              <w:ind w:firstLine="39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12534">
              <w:rPr>
                <w:rFonts w:ascii="PT Astra Serif" w:hAnsi="PT Astra Serif"/>
                <w:sz w:val="22"/>
                <w:szCs w:val="22"/>
              </w:rPr>
              <w:t>Предложена схема комплексной переработки ягод, произрастающих на территории Амурской области (смородины, голубики и брусники), включающая извлечение сока и получение фитоп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о</w:t>
            </w:r>
            <w:r w:rsidRPr="00A12534">
              <w:rPr>
                <w:rFonts w:ascii="PT Astra Serif" w:hAnsi="PT Astra Serif"/>
                <w:sz w:val="22"/>
                <w:szCs w:val="22"/>
              </w:rPr>
              <w:t>рошков из жома, оставшегося после извлечения сока с целью комплексной переработки отходов и дополнительного обогащения мармелада биологически ценными ингредиентами, содержащимися в жоме (фитопорошке). Предложена технология изготовления мармелада повышенной биологич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е</w:t>
            </w:r>
            <w:r w:rsidRPr="00A12534">
              <w:rPr>
                <w:rFonts w:ascii="PT Astra Serif" w:hAnsi="PT Astra Serif"/>
                <w:sz w:val="22"/>
                <w:szCs w:val="22"/>
              </w:rPr>
              <w:t>ской ценности за счет использования соков и фитопорошка ягод смородины, голубики и брусники при полном исключении из рецептуры синтетических добавок. Для снижения калорийности изд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е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лий сахар-песок был заменен кленовым сиропом. Определено оптимальное соотношение ввод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и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мых в мармелад соков и фитопорошка, взятых в равных соотношениях. Оно составило 2:2 к общей массе рецептурных компонентов. Приведены результаты изучения биологической и энергетич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е</w:t>
            </w:r>
            <w:r w:rsidRPr="00A12534">
              <w:rPr>
                <w:rFonts w:ascii="PT Astra Serif" w:hAnsi="PT Astra Serif"/>
                <w:sz w:val="22"/>
                <w:szCs w:val="22"/>
              </w:rPr>
              <w:t>ской ценности готовых изделий. Обсуждаются данные по органолептическим и физико-</w:t>
            </w:r>
            <w:r w:rsidRPr="00A12534">
              <w:rPr>
                <w:rFonts w:ascii="PT Astra Serif" w:hAnsi="PT Astra Serif"/>
                <w:sz w:val="22"/>
                <w:szCs w:val="22"/>
              </w:rPr>
              <w:lastRenderedPageBreak/>
              <w:t>химическим показателям мармелада. Установлен срок годности мармелада. Он составил два мес</w:t>
            </w:r>
            <w:r w:rsidRPr="00A12534">
              <w:rPr>
                <w:rFonts w:ascii="PT Astra Serif" w:hAnsi="PT Astra Serif"/>
                <w:sz w:val="22"/>
                <w:szCs w:val="22"/>
              </w:rPr>
              <w:t>я</w:t>
            </w:r>
            <w:r w:rsidRPr="00A12534">
              <w:rPr>
                <w:rFonts w:ascii="PT Astra Serif" w:hAnsi="PT Astra Serif"/>
                <w:sz w:val="22"/>
                <w:szCs w:val="22"/>
              </w:rPr>
              <w:t xml:space="preserve">ца. </w:t>
            </w:r>
          </w:p>
          <w:p w:rsidR="00C8282B" w:rsidRDefault="00C8282B" w:rsidP="00C8282B">
            <w:pPr>
              <w:pStyle w:val="Default"/>
              <w:ind w:firstLine="397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A12534" w:rsidRDefault="00A12534" w:rsidP="00C8282B">
            <w:pPr>
              <w:pStyle w:val="Default"/>
              <w:ind w:firstLine="39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12534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Ключевые слова: </w:t>
            </w:r>
            <w:r w:rsidRPr="00A12534">
              <w:rPr>
                <w:rFonts w:ascii="PT Astra Serif" w:hAnsi="PT Astra Serif"/>
                <w:sz w:val="22"/>
                <w:szCs w:val="22"/>
              </w:rPr>
              <w:t xml:space="preserve">мармелад, биологическая ценность, ягоды, смородина, голубика, брусника, сок, фитопорошок. </w:t>
            </w:r>
          </w:p>
          <w:p w:rsidR="00C8282B" w:rsidRPr="00A12534" w:rsidRDefault="00C8282B" w:rsidP="00C8282B">
            <w:pPr>
              <w:pStyle w:val="Default"/>
              <w:ind w:firstLine="397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A12534" w:rsidRDefault="00A12534" w:rsidP="00C8282B">
            <w:pPr>
              <w:ind w:firstLine="397"/>
              <w:jc w:val="right"/>
              <w:rPr>
                <w:rFonts w:ascii="PT Astra Serif" w:hAnsi="PT Astra Serif"/>
                <w:i/>
                <w:iCs/>
              </w:rPr>
            </w:pPr>
            <w:r w:rsidRPr="00A12534">
              <w:rPr>
                <w:rFonts w:ascii="PT Astra Serif" w:hAnsi="PT Astra Serif"/>
                <w:i/>
                <w:iCs/>
              </w:rPr>
              <w:t>DOI: 10.17217/2079-0333-2018-45-58-65</w:t>
            </w:r>
          </w:p>
          <w:p w:rsidR="00C8282B" w:rsidRPr="00A12534" w:rsidRDefault="00C8282B" w:rsidP="00C8282B">
            <w:pPr>
              <w:ind w:firstLine="397"/>
              <w:jc w:val="right"/>
              <w:rPr>
                <w:rFonts w:ascii="PT Astra Serif" w:hAnsi="PT Astra Serif"/>
              </w:rPr>
            </w:pPr>
          </w:p>
        </w:tc>
      </w:tr>
      <w:tr w:rsidR="00A12534" w:rsidRPr="00A12534" w:rsidTr="00A12534">
        <w:trPr>
          <w:jc w:val="center"/>
        </w:trPr>
        <w:tc>
          <w:tcPr>
            <w:tcW w:w="9571" w:type="dxa"/>
          </w:tcPr>
          <w:p w:rsidR="00A12534" w:rsidRPr="00A12534" w:rsidRDefault="00A12534" w:rsidP="00C8282B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A1253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УДК 664.91/.94 </w:t>
            </w:r>
          </w:p>
          <w:p w:rsidR="00C8282B" w:rsidRDefault="00C8282B" w:rsidP="00C8282B">
            <w:pPr>
              <w:pStyle w:val="Default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A12534" w:rsidRDefault="00A12534" w:rsidP="00C8282B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A12534">
              <w:rPr>
                <w:rFonts w:ascii="PT Astra Serif" w:hAnsi="PT Astra Serif"/>
                <w:b/>
                <w:bCs/>
                <w:sz w:val="22"/>
                <w:szCs w:val="22"/>
              </w:rPr>
              <w:t>Ю.П. Шульгин, Ю.И. Приходько, Р.Ю. Шульгин, Т.Ю. Шкарина</w:t>
            </w:r>
          </w:p>
          <w:p w:rsidR="00C8282B" w:rsidRPr="00A12534" w:rsidRDefault="00C8282B" w:rsidP="00C8282B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12534" w:rsidRPr="00A12534" w:rsidRDefault="00A12534" w:rsidP="00C8282B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12534">
              <w:rPr>
                <w:rFonts w:ascii="PT Astra Serif" w:hAnsi="PT Astra Serif"/>
                <w:b/>
                <w:bCs/>
                <w:sz w:val="22"/>
                <w:szCs w:val="22"/>
              </w:rPr>
              <w:t>КАЧЕСТВО И БИОЛОГИЧЕСКАЯ ЦЕННОСТЬ КОНСЕРВОВ</w:t>
            </w:r>
          </w:p>
          <w:p w:rsidR="00A12534" w:rsidRDefault="00A12534" w:rsidP="00C8282B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A12534">
              <w:rPr>
                <w:rFonts w:ascii="PT Astra Serif" w:hAnsi="PT Astra Serif"/>
                <w:b/>
                <w:bCs/>
                <w:sz w:val="22"/>
                <w:szCs w:val="22"/>
              </w:rPr>
              <w:t>НА ОСНОВЕ НЕТРАДИЦИОННОГО МЯСНОГО СЫРЬЯ</w:t>
            </w:r>
          </w:p>
          <w:p w:rsidR="00C8282B" w:rsidRPr="00A12534" w:rsidRDefault="00C8282B" w:rsidP="00C8282B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  <w:p w:rsidR="00A12534" w:rsidRPr="00A12534" w:rsidRDefault="00A12534" w:rsidP="00C8282B">
            <w:pPr>
              <w:pStyle w:val="Default"/>
              <w:ind w:firstLine="39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12534">
              <w:rPr>
                <w:rFonts w:ascii="PT Astra Serif" w:hAnsi="PT Astra Serif"/>
                <w:sz w:val="22"/>
                <w:szCs w:val="22"/>
              </w:rPr>
              <w:t>Разработан ассортимент новых консервов на основе мяса кенгуру и дополнительных комп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о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нентов, обладающих пониженной энергетической ценностью. Проведена оценка их качества и биологической ценности. Содержание мяса кенгуру в составе натуральных консервов составляло 90,0%, в мясорастительных – 45,0%. В состав мясорастительных продуктов входят овощи и вар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е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но-мороженая кукумария японская как дополнительный источник коллагена. Готовые консервы на основе мяса кенгуру отличались от продуктов с говядиной низким содержанием жира и пониже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н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ной энергетической ценностью. Они не содержали застывшего жира. В натуральных консервах на основе мяса кенгуру содержание белков составляло 20,0–21,0%, животного жира – 2,1–2,5%; в комбинированных консервах – 16,6–17,6% и 1,6–1,9%. Консервы на основе мяса кенгуру пре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д</w:t>
            </w:r>
            <w:r w:rsidRPr="00A12534">
              <w:rPr>
                <w:rFonts w:ascii="PT Astra Serif" w:hAnsi="PT Astra Serif"/>
                <w:sz w:val="22"/>
                <w:szCs w:val="22"/>
              </w:rPr>
              <w:t>ставляют собой дополнительный источник железа, цинка, тиамина, рибофлавина и коллагенобр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а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зующей аминокислоты пролина. Содержание этих нутриентов в 100 г продуктов позволяет удо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в</w:t>
            </w:r>
            <w:r w:rsidRPr="00A12534">
              <w:rPr>
                <w:rFonts w:ascii="PT Astra Serif" w:hAnsi="PT Astra Serif"/>
                <w:sz w:val="22"/>
                <w:szCs w:val="22"/>
              </w:rPr>
              <w:t xml:space="preserve">летворить суточную потребность взрослого человека в них на 15% и более. Консервы могут быть рекомендованы в качестве продуктов массового потребления, а также для коррекции базисных и специализированных диет. </w:t>
            </w:r>
          </w:p>
          <w:p w:rsidR="00C8282B" w:rsidRDefault="00C8282B" w:rsidP="00C8282B">
            <w:pPr>
              <w:pStyle w:val="Default"/>
              <w:ind w:firstLine="397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A12534" w:rsidRDefault="00A12534" w:rsidP="00C8282B">
            <w:pPr>
              <w:pStyle w:val="Default"/>
              <w:ind w:firstLine="39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12534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Ключевые слова: 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мясо кенгуру, консервы, состав, белки, жир, пролин, минеральные вещес</w:t>
            </w:r>
            <w:r w:rsidRPr="00A12534">
              <w:rPr>
                <w:rFonts w:ascii="PT Astra Serif" w:hAnsi="PT Astra Serif"/>
                <w:sz w:val="22"/>
                <w:szCs w:val="22"/>
              </w:rPr>
              <w:t>т</w:t>
            </w:r>
            <w:r w:rsidRPr="00A12534">
              <w:rPr>
                <w:rFonts w:ascii="PT Astra Serif" w:hAnsi="PT Astra Serif"/>
                <w:sz w:val="22"/>
                <w:szCs w:val="22"/>
              </w:rPr>
              <w:t xml:space="preserve">ва, витамины. </w:t>
            </w:r>
          </w:p>
          <w:p w:rsidR="00C8282B" w:rsidRPr="00A12534" w:rsidRDefault="00C8282B" w:rsidP="00A12534">
            <w:pPr>
              <w:pStyle w:val="Default"/>
              <w:ind w:firstLine="397"/>
              <w:rPr>
                <w:rFonts w:ascii="PT Astra Serif" w:hAnsi="PT Astra Serif"/>
                <w:sz w:val="22"/>
                <w:szCs w:val="22"/>
              </w:rPr>
            </w:pPr>
          </w:p>
          <w:p w:rsidR="00A12534" w:rsidRDefault="00A12534" w:rsidP="00C8282B">
            <w:pPr>
              <w:pStyle w:val="Default"/>
              <w:ind w:firstLine="397"/>
              <w:jc w:val="right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A12534">
              <w:rPr>
                <w:rFonts w:ascii="PT Astra Serif" w:hAnsi="PT Astra Serif"/>
                <w:i/>
                <w:iCs/>
                <w:sz w:val="22"/>
                <w:szCs w:val="22"/>
              </w:rPr>
              <w:t>DOI: 10.17217/2079-0333-2018-45-66-72</w:t>
            </w:r>
          </w:p>
          <w:p w:rsidR="00C8282B" w:rsidRPr="00A12534" w:rsidRDefault="00C8282B" w:rsidP="00C8282B">
            <w:pPr>
              <w:pStyle w:val="Default"/>
              <w:ind w:firstLine="397"/>
              <w:jc w:val="right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12534" w:rsidRPr="00A12534" w:rsidTr="00A12534">
        <w:trPr>
          <w:jc w:val="center"/>
        </w:trPr>
        <w:tc>
          <w:tcPr>
            <w:tcW w:w="9571" w:type="dxa"/>
          </w:tcPr>
          <w:p w:rsidR="00A12534" w:rsidRPr="00A12534" w:rsidRDefault="00A12534" w:rsidP="00C8282B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A12534">
              <w:rPr>
                <w:rFonts w:ascii="PT Astra Serif" w:hAnsi="PT Astra Serif"/>
                <w:sz w:val="22"/>
                <w:szCs w:val="22"/>
              </w:rPr>
              <w:t xml:space="preserve">УДК 558.535.8(571.66) </w:t>
            </w:r>
          </w:p>
          <w:p w:rsidR="00C8282B" w:rsidRDefault="00C8282B" w:rsidP="00C8282B">
            <w:pPr>
              <w:pStyle w:val="Default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A12534" w:rsidRDefault="00A12534" w:rsidP="00C8282B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A12534">
              <w:rPr>
                <w:rFonts w:ascii="PT Astra Serif" w:hAnsi="PT Astra Serif"/>
                <w:b/>
                <w:bCs/>
                <w:sz w:val="22"/>
                <w:szCs w:val="22"/>
              </w:rPr>
              <w:t>Т.Л. Введенская, А.В. Улатов</w:t>
            </w:r>
          </w:p>
          <w:p w:rsidR="00C8282B" w:rsidRPr="00A12534" w:rsidRDefault="00C8282B" w:rsidP="00C8282B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12534" w:rsidRPr="00A12534" w:rsidRDefault="00A12534" w:rsidP="00C8282B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12534">
              <w:rPr>
                <w:rFonts w:ascii="PT Astra Serif" w:hAnsi="PT Astra Serif"/>
                <w:b/>
                <w:bCs/>
                <w:sz w:val="22"/>
                <w:szCs w:val="22"/>
              </w:rPr>
              <w:t>ВЛИЯНИЕ СТОКОВ РЫБОПЕРЕРАБАТЫВАЮЩИХ ПРЕДПРИЯТИЙ</w:t>
            </w:r>
          </w:p>
          <w:p w:rsidR="00A12534" w:rsidRPr="00A12534" w:rsidRDefault="00A12534" w:rsidP="00C8282B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12534">
              <w:rPr>
                <w:rFonts w:ascii="PT Astra Serif" w:hAnsi="PT Astra Serif"/>
                <w:b/>
                <w:bCs/>
                <w:sz w:val="22"/>
                <w:szCs w:val="22"/>
              </w:rPr>
              <w:t>НА ЭКОЛОГИЧЕСКОЕ СОСТОЯНИЕ РУЧЬЯ КАНОНЕРСКИЙ</w:t>
            </w:r>
          </w:p>
          <w:p w:rsidR="00A12534" w:rsidRDefault="00A12534" w:rsidP="00C8282B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A12534">
              <w:rPr>
                <w:rFonts w:ascii="PT Astra Serif" w:hAnsi="PT Astra Serif"/>
                <w:b/>
                <w:bCs/>
                <w:sz w:val="22"/>
                <w:szCs w:val="22"/>
              </w:rPr>
              <w:t>(БАССЕЙН РЕКИ АВАЧА)</w:t>
            </w:r>
          </w:p>
          <w:p w:rsidR="00C8282B" w:rsidRPr="00A12534" w:rsidRDefault="00C8282B" w:rsidP="00C8282B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  <w:p w:rsidR="00A12534" w:rsidRPr="00A12534" w:rsidRDefault="00A12534" w:rsidP="00C8282B">
            <w:pPr>
              <w:pStyle w:val="Default"/>
              <w:ind w:firstLine="39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12534">
              <w:rPr>
                <w:rFonts w:ascii="PT Astra Serif" w:hAnsi="PT Astra Serif"/>
                <w:sz w:val="22"/>
                <w:szCs w:val="22"/>
              </w:rPr>
              <w:t>В нижнем течении руч. Канонерский, притоке первого порядка р. Авача, расположены два рыбоперерабатывающих завода, и часть отходов от переработки рыбы сбрасывается в ручей. Р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е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зультаты гидрохимических анализов воды на этом участке ручья показали значительное превыш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е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ние ПДК, установленных для рыбохозяйственных водоемов по аммонию, фосфатам, железу. На участке русла ниже первого завода качество воды соответствовало классу «чистая», после заводов и вблизи устья, отличавшихся низкой концентрацией растворенного кислорода и высокими знач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е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ниями БПК</w:t>
            </w:r>
            <w:r w:rsidRPr="005C6FFC">
              <w:rPr>
                <w:rFonts w:ascii="PT Astra Serif" w:hAnsi="PT Astra Serif"/>
                <w:sz w:val="22"/>
                <w:szCs w:val="22"/>
                <w:vertAlign w:val="subscript"/>
              </w:rPr>
              <w:t>5</w:t>
            </w:r>
            <w:r w:rsidRPr="00A12534">
              <w:rPr>
                <w:rFonts w:ascii="PT Astra Serif" w:hAnsi="PT Astra Serif"/>
                <w:sz w:val="22"/>
                <w:szCs w:val="22"/>
              </w:rPr>
              <w:t xml:space="preserve"> – классу «чрезвычайно грязная». Ниже заводов макрозообентос практически отсутс</w:t>
            </w:r>
            <w:r w:rsidRPr="00A12534">
              <w:rPr>
                <w:rFonts w:ascii="PT Astra Serif" w:hAnsi="PT Astra Serif"/>
                <w:sz w:val="22"/>
                <w:szCs w:val="22"/>
              </w:rPr>
              <w:t>т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вовал, единично встречались только наиболее толерантные к загрязнению беспозвоночные. За п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е</w:t>
            </w:r>
            <w:r w:rsidRPr="00A12534">
              <w:rPr>
                <w:rFonts w:ascii="PT Astra Serif" w:hAnsi="PT Astra Serif"/>
                <w:sz w:val="22"/>
                <w:szCs w:val="22"/>
              </w:rPr>
              <w:t xml:space="preserve">риод исследований в нижнем течении ручья молодь тихоокеанских лососей не обнаружена, выше заводов встречалась мальма, в устье ручья – трехиглая колюшка. </w:t>
            </w:r>
          </w:p>
          <w:p w:rsidR="00C8282B" w:rsidRDefault="00C8282B" w:rsidP="00C8282B">
            <w:pPr>
              <w:pStyle w:val="Default"/>
              <w:ind w:firstLine="397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A12534" w:rsidRPr="00A12534" w:rsidRDefault="00A12534" w:rsidP="00C8282B">
            <w:pPr>
              <w:pStyle w:val="Default"/>
              <w:ind w:firstLine="39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12534">
              <w:rPr>
                <w:rFonts w:ascii="PT Astra Serif" w:hAnsi="PT Astra Serif"/>
                <w:b/>
                <w:bCs/>
                <w:sz w:val="22"/>
                <w:szCs w:val="22"/>
              </w:rPr>
              <w:t>Ключевые слова</w:t>
            </w:r>
            <w:r w:rsidRPr="00A12534">
              <w:rPr>
                <w:rFonts w:ascii="PT Astra Serif" w:hAnsi="PT Astra Serif"/>
                <w:sz w:val="22"/>
                <w:szCs w:val="22"/>
              </w:rPr>
              <w:t>: антропогенная нагрузка, Камчатка, качество воды, макрозообентос, тих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о</w:t>
            </w:r>
            <w:r w:rsidRPr="00A12534">
              <w:rPr>
                <w:rFonts w:ascii="PT Astra Serif" w:hAnsi="PT Astra Serif"/>
                <w:sz w:val="22"/>
                <w:szCs w:val="22"/>
              </w:rPr>
              <w:t xml:space="preserve">океанские лососи, экологическое состояние. </w:t>
            </w:r>
          </w:p>
          <w:p w:rsidR="00C8282B" w:rsidRDefault="00C8282B" w:rsidP="00A12534">
            <w:pPr>
              <w:pStyle w:val="Default"/>
              <w:ind w:firstLine="397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A12534" w:rsidRDefault="00A12534" w:rsidP="00C8282B">
            <w:pPr>
              <w:pStyle w:val="Default"/>
              <w:ind w:firstLine="397"/>
              <w:jc w:val="right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A12534">
              <w:rPr>
                <w:rFonts w:ascii="PT Astra Serif" w:hAnsi="PT Astra Serif"/>
                <w:i/>
                <w:iCs/>
                <w:sz w:val="22"/>
                <w:szCs w:val="22"/>
              </w:rPr>
              <w:lastRenderedPageBreak/>
              <w:t>DOI: 10.17217/2079-0333-2018-45-73-79</w:t>
            </w:r>
          </w:p>
          <w:p w:rsidR="00C8282B" w:rsidRPr="00A12534" w:rsidRDefault="00C8282B" w:rsidP="00C8282B">
            <w:pPr>
              <w:pStyle w:val="Default"/>
              <w:ind w:firstLine="397"/>
              <w:jc w:val="right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12534" w:rsidRPr="00A12534" w:rsidTr="00A12534">
        <w:trPr>
          <w:jc w:val="center"/>
        </w:trPr>
        <w:tc>
          <w:tcPr>
            <w:tcW w:w="9571" w:type="dxa"/>
          </w:tcPr>
          <w:p w:rsidR="00A12534" w:rsidRPr="00A12534" w:rsidRDefault="00A12534" w:rsidP="00C8282B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A1253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УДК 582.272.462(265.5) </w:t>
            </w:r>
          </w:p>
          <w:p w:rsidR="00C8282B" w:rsidRDefault="00C8282B" w:rsidP="00C8282B">
            <w:pPr>
              <w:pStyle w:val="Default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A12534" w:rsidRPr="00A12534" w:rsidRDefault="00A12534" w:rsidP="00C8282B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12534">
              <w:rPr>
                <w:rFonts w:ascii="PT Astra Serif" w:hAnsi="PT Astra Serif"/>
                <w:b/>
                <w:bCs/>
                <w:sz w:val="22"/>
                <w:szCs w:val="22"/>
              </w:rPr>
              <w:t>Н.Г. Клочкова, Т.А. Клочкова</w:t>
            </w:r>
          </w:p>
          <w:p w:rsidR="00C8282B" w:rsidRDefault="00C8282B" w:rsidP="00C8282B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5C6FFC" w:rsidRDefault="00A12534" w:rsidP="00C8282B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A12534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РЕВИЗИЯ ВИДОВОГО СОСТАВА МОРСКОЙ АЛЬГОФЛОРЫ </w:t>
            </w:r>
          </w:p>
          <w:p w:rsidR="00A12534" w:rsidRDefault="00A12534" w:rsidP="00C8282B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A12534">
              <w:rPr>
                <w:rFonts w:ascii="PT Astra Serif" w:hAnsi="PT Astra Serif"/>
                <w:b/>
                <w:bCs/>
                <w:sz w:val="22"/>
                <w:szCs w:val="22"/>
              </w:rPr>
              <w:t>ВОСТОЧНОГО САХАЛИНА И ДОПОЛНЕНИЯ К НЕЙ</w:t>
            </w:r>
          </w:p>
          <w:p w:rsidR="00C8282B" w:rsidRPr="00A12534" w:rsidRDefault="00C8282B" w:rsidP="00C8282B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  <w:p w:rsidR="00A12534" w:rsidRPr="00A12534" w:rsidRDefault="00A12534" w:rsidP="005C6FFC">
            <w:pPr>
              <w:pStyle w:val="Default"/>
              <w:ind w:firstLine="39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12534">
              <w:rPr>
                <w:rFonts w:ascii="PT Astra Serif" w:hAnsi="PT Astra Serif"/>
                <w:sz w:val="22"/>
                <w:szCs w:val="22"/>
              </w:rPr>
              <w:t>Приводится общий список видового состава морской альгофлоры восточного побережья С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а</w:t>
            </w:r>
            <w:r w:rsidRPr="00A12534">
              <w:rPr>
                <w:rFonts w:ascii="PT Astra Serif" w:hAnsi="PT Astra Serif"/>
                <w:sz w:val="22"/>
                <w:szCs w:val="22"/>
              </w:rPr>
              <w:t>халина. Он составлен на основании ревизии имеющихся в научной литературе альгофлористич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е</w:t>
            </w:r>
            <w:r w:rsidRPr="00A12534">
              <w:rPr>
                <w:rFonts w:ascii="PT Astra Serif" w:hAnsi="PT Astra Serif"/>
                <w:sz w:val="22"/>
                <w:szCs w:val="22"/>
              </w:rPr>
              <w:t>ских данных и результатов обработки сборов водорослей-макрофитов, собранных в районе мыса Арцешевского в ходе проведения в августе 2013 г. исследований, направленных на изучение вид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о</w:t>
            </w:r>
            <w:r w:rsidRPr="00A12534">
              <w:rPr>
                <w:rFonts w:ascii="PT Astra Serif" w:hAnsi="PT Astra Serif"/>
                <w:sz w:val="22"/>
                <w:szCs w:val="22"/>
              </w:rPr>
              <w:t xml:space="preserve">вого состава и ценотической структуры сообществ ламинариевых водорослей южного Сахалина. Общий список водорослей восточного побережья включает 153 вида, 28 из них (4 – Chlorophyta, 10 – Ochrophyta и 14 – Rhodophyta) указываются для альгофлоры восточного Сахалина впервые. </w:t>
            </w:r>
          </w:p>
          <w:p w:rsidR="005C6FFC" w:rsidRDefault="005C6FFC" w:rsidP="005C6FFC">
            <w:pPr>
              <w:pStyle w:val="Default"/>
              <w:ind w:firstLine="397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A12534" w:rsidRDefault="00A12534" w:rsidP="005C6FFC">
            <w:pPr>
              <w:pStyle w:val="Default"/>
              <w:ind w:firstLine="39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12534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Ключевые слова: 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водоросли-макрофиты, восточный Сахалин, новые находки, ревизия ал</w:t>
            </w:r>
            <w:r w:rsidRPr="00A12534">
              <w:rPr>
                <w:rFonts w:ascii="PT Astra Serif" w:hAnsi="PT Astra Serif"/>
                <w:sz w:val="22"/>
                <w:szCs w:val="22"/>
              </w:rPr>
              <w:t>ь</w:t>
            </w:r>
            <w:r w:rsidRPr="00A12534">
              <w:rPr>
                <w:rFonts w:ascii="PT Astra Serif" w:hAnsi="PT Astra Serif"/>
                <w:sz w:val="22"/>
                <w:szCs w:val="22"/>
              </w:rPr>
              <w:t xml:space="preserve">гофлоры. </w:t>
            </w:r>
          </w:p>
          <w:p w:rsidR="005C6FFC" w:rsidRPr="00A12534" w:rsidRDefault="005C6FFC" w:rsidP="005C6FFC">
            <w:pPr>
              <w:pStyle w:val="Default"/>
              <w:ind w:firstLine="397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A12534" w:rsidRDefault="00A12534" w:rsidP="005C6FFC">
            <w:pPr>
              <w:pStyle w:val="Default"/>
              <w:ind w:firstLine="397"/>
              <w:jc w:val="right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A12534">
              <w:rPr>
                <w:rFonts w:ascii="PT Astra Serif" w:hAnsi="PT Astra Serif"/>
                <w:i/>
                <w:iCs/>
                <w:sz w:val="22"/>
                <w:szCs w:val="22"/>
              </w:rPr>
              <w:t>DOI: 10.17217/2079-0333-2018-45-80-97</w:t>
            </w:r>
          </w:p>
          <w:p w:rsidR="005C6FFC" w:rsidRPr="00A12534" w:rsidRDefault="005C6FFC" w:rsidP="005C6FFC">
            <w:pPr>
              <w:pStyle w:val="Default"/>
              <w:ind w:firstLine="397"/>
              <w:jc w:val="right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12534" w:rsidRPr="00A12534" w:rsidTr="00A12534">
        <w:trPr>
          <w:jc w:val="center"/>
        </w:trPr>
        <w:tc>
          <w:tcPr>
            <w:tcW w:w="9571" w:type="dxa"/>
          </w:tcPr>
          <w:p w:rsidR="00A12534" w:rsidRPr="00A12534" w:rsidRDefault="00A12534" w:rsidP="005C6FFC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A12534">
              <w:rPr>
                <w:rFonts w:ascii="PT Astra Serif" w:hAnsi="PT Astra Serif"/>
                <w:sz w:val="22"/>
                <w:szCs w:val="22"/>
              </w:rPr>
              <w:t xml:space="preserve">УДК 574+556.115:579+556.555.6 </w:t>
            </w:r>
          </w:p>
          <w:p w:rsidR="005C6FFC" w:rsidRDefault="005C6FFC" w:rsidP="005C6FFC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A12534" w:rsidRDefault="00A12534" w:rsidP="005C6FFC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A12534">
              <w:rPr>
                <w:rFonts w:ascii="PT Astra Serif" w:hAnsi="PT Astra Serif"/>
                <w:b/>
                <w:bCs/>
                <w:sz w:val="22"/>
                <w:szCs w:val="22"/>
              </w:rPr>
              <w:t>С.В. Мурадов</w:t>
            </w:r>
          </w:p>
          <w:p w:rsidR="005C6FFC" w:rsidRPr="00A12534" w:rsidRDefault="005C6FFC" w:rsidP="005C6FFC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12534" w:rsidRPr="00A12534" w:rsidRDefault="00A12534" w:rsidP="005C6FFC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12534">
              <w:rPr>
                <w:rFonts w:ascii="PT Astra Serif" w:hAnsi="PT Astra Serif"/>
                <w:b/>
                <w:bCs/>
                <w:sz w:val="22"/>
                <w:szCs w:val="22"/>
              </w:rPr>
              <w:t>ЭКОЛОГИЧЕСКИЕ ВЗАИМОДЕЙСТВИЯ ТЕРМОМИНЕРАЛЬНЫХ ВОД</w:t>
            </w:r>
          </w:p>
          <w:p w:rsidR="00A12534" w:rsidRDefault="00A12534" w:rsidP="005C6FFC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A12534">
              <w:rPr>
                <w:rFonts w:ascii="PT Astra Serif" w:hAnsi="PT Astra Serif"/>
                <w:b/>
                <w:bCs/>
                <w:sz w:val="22"/>
                <w:szCs w:val="22"/>
              </w:rPr>
              <w:t>И АВТОХТОННОЙ МИКРОФЛОРЫ ИЛОВОГО СУЛЬФИДНОГО ПЕЛОИДА</w:t>
            </w:r>
          </w:p>
          <w:p w:rsidR="005C6FFC" w:rsidRPr="00A12534" w:rsidRDefault="005C6FFC" w:rsidP="005C6FFC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12534" w:rsidRPr="00A12534" w:rsidRDefault="00A12534" w:rsidP="005C6FFC">
            <w:pPr>
              <w:pStyle w:val="Default"/>
              <w:ind w:firstLine="39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12534">
              <w:rPr>
                <w:rFonts w:ascii="PT Astra Serif" w:hAnsi="PT Astra Serif"/>
                <w:sz w:val="22"/>
                <w:szCs w:val="22"/>
              </w:rPr>
              <w:t>Описаны результаты изучения воздействия термоминеральных вод на специфическое микро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б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ное сообщество иловой сульфидной лечебной грязи, полученной из озера Утиное, расположенного на юго-востоке Камчатки. Длительные наблюдения за экологическим состоянием грязелечебного месторождения свидетельствуют о сохранении некондиционных показателей санитарного состо</w:t>
            </w:r>
            <w:r w:rsidRPr="00A12534">
              <w:rPr>
                <w:rFonts w:ascii="PT Astra Serif" w:hAnsi="PT Astra Serif"/>
                <w:sz w:val="22"/>
                <w:szCs w:val="22"/>
              </w:rPr>
              <w:t>я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ния его покровных вод и донных отложений. Присутствующее здесь автохтонное микробное с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о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общество в силу произошедших изменений не обеспечивает восстановление требуемых кондиций лечебной грязи. Причиной снижения очищающих способностей донных отложений озера является токсическое влияние на них термальных вод. Это было установлено в процессе разведения пело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и</w:t>
            </w:r>
            <w:r w:rsidRPr="00A12534">
              <w:rPr>
                <w:rFonts w:ascii="PT Astra Serif" w:hAnsi="PT Astra Serif"/>
                <w:sz w:val="22"/>
                <w:szCs w:val="22"/>
              </w:rPr>
              <w:t xml:space="preserve">да в дистиллированной воде и в воде с добавлением разного количества термоминеральной воды. </w:t>
            </w:r>
          </w:p>
          <w:p w:rsidR="005C6FFC" w:rsidRDefault="005C6FFC" w:rsidP="005C6FFC">
            <w:pPr>
              <w:pStyle w:val="Default"/>
              <w:ind w:firstLine="397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A12534" w:rsidRPr="00A12534" w:rsidRDefault="00A12534" w:rsidP="005C6FFC">
            <w:pPr>
              <w:pStyle w:val="Default"/>
              <w:ind w:firstLine="39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12534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Ключевые слова: </w:t>
            </w:r>
            <w:r w:rsidRPr="00A12534">
              <w:rPr>
                <w:rFonts w:ascii="PT Astra Serif" w:hAnsi="PT Astra Serif"/>
                <w:sz w:val="22"/>
                <w:szCs w:val="22"/>
              </w:rPr>
              <w:t xml:space="preserve">термоминеральная вода, покровные воды, пелоид, автохтонное микробное сообщество, лечебная грязь, санитарное состояние. </w:t>
            </w:r>
          </w:p>
          <w:p w:rsidR="005C6FFC" w:rsidRDefault="005C6FFC" w:rsidP="00A12534">
            <w:pPr>
              <w:pStyle w:val="Default"/>
              <w:ind w:firstLine="397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A12534" w:rsidRDefault="00A12534" w:rsidP="005C6FFC">
            <w:pPr>
              <w:pStyle w:val="Default"/>
              <w:ind w:firstLine="397"/>
              <w:jc w:val="right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A12534">
              <w:rPr>
                <w:rFonts w:ascii="PT Astra Serif" w:hAnsi="PT Astra Serif"/>
                <w:i/>
                <w:iCs/>
                <w:sz w:val="22"/>
                <w:szCs w:val="22"/>
              </w:rPr>
              <w:t>DOI: 10.17217/2079-0333-2018-45-98-102</w:t>
            </w:r>
          </w:p>
          <w:p w:rsidR="005C6FFC" w:rsidRPr="00A12534" w:rsidRDefault="005C6FFC" w:rsidP="005C6FFC">
            <w:pPr>
              <w:pStyle w:val="Default"/>
              <w:ind w:firstLine="397"/>
              <w:jc w:val="right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12534" w:rsidRPr="00A12534" w:rsidTr="00A12534">
        <w:trPr>
          <w:jc w:val="center"/>
        </w:trPr>
        <w:tc>
          <w:tcPr>
            <w:tcW w:w="9571" w:type="dxa"/>
          </w:tcPr>
          <w:p w:rsidR="00A12534" w:rsidRPr="00A12534" w:rsidRDefault="00A12534" w:rsidP="005C6FFC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A12534">
              <w:rPr>
                <w:rFonts w:ascii="PT Astra Serif" w:hAnsi="PT Astra Serif"/>
                <w:sz w:val="22"/>
                <w:szCs w:val="22"/>
              </w:rPr>
              <w:t xml:space="preserve">УДК 581.526.3(262.5) </w:t>
            </w:r>
          </w:p>
          <w:p w:rsidR="005C6FFC" w:rsidRDefault="005C6FFC" w:rsidP="005C6FFC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A12534" w:rsidRDefault="00A12534" w:rsidP="005C6FFC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A12534">
              <w:rPr>
                <w:rFonts w:ascii="PT Astra Serif" w:hAnsi="PT Astra Serif"/>
                <w:b/>
                <w:bCs/>
                <w:sz w:val="22"/>
                <w:szCs w:val="22"/>
              </w:rPr>
              <w:t>О.В. Степаньян</w:t>
            </w:r>
          </w:p>
          <w:p w:rsidR="005C6FFC" w:rsidRPr="00A12534" w:rsidRDefault="005C6FFC" w:rsidP="005C6FFC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12534" w:rsidRPr="00A12534" w:rsidRDefault="00A12534" w:rsidP="005C6FFC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12534">
              <w:rPr>
                <w:rFonts w:ascii="PT Astra Serif" w:hAnsi="PT Astra Serif"/>
                <w:b/>
                <w:bCs/>
                <w:sz w:val="22"/>
                <w:szCs w:val="22"/>
              </w:rPr>
              <w:t>МАКРОФИТОБЕНТОС НОВОРОССИЙСКОЙ БУХТЫ (ЧЕРНОЕ МОРЕ):</w:t>
            </w:r>
          </w:p>
          <w:p w:rsidR="00A12534" w:rsidRDefault="00A12534" w:rsidP="005C6FFC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A12534">
              <w:rPr>
                <w:rFonts w:ascii="PT Astra Serif" w:hAnsi="PT Astra Serif"/>
                <w:b/>
                <w:bCs/>
                <w:sz w:val="22"/>
                <w:szCs w:val="22"/>
              </w:rPr>
              <w:t>ДЕГРАДАЦИЯ В УСЛОВИЯХ ХОЗЯЙСТВЕННОЙ ДЕЯТЕЛЬНОСТИ И КЛИМАТИЧ</w:t>
            </w:r>
            <w:r w:rsidRPr="00A12534">
              <w:rPr>
                <w:rFonts w:ascii="PT Astra Serif" w:hAnsi="PT Astra Serif"/>
                <w:b/>
                <w:bCs/>
                <w:sz w:val="22"/>
                <w:szCs w:val="22"/>
              </w:rPr>
              <w:t>Е</w:t>
            </w:r>
            <w:r w:rsidRPr="00A12534">
              <w:rPr>
                <w:rFonts w:ascii="PT Astra Serif" w:hAnsi="PT Astra Serif"/>
                <w:b/>
                <w:bCs/>
                <w:sz w:val="22"/>
                <w:szCs w:val="22"/>
              </w:rPr>
              <w:t>СКИХ ИЗМЕНЕНИЙ</w:t>
            </w:r>
          </w:p>
          <w:p w:rsidR="005C6FFC" w:rsidRPr="00A12534" w:rsidRDefault="005C6FFC" w:rsidP="005C6FFC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12534" w:rsidRPr="00A12534" w:rsidRDefault="00A12534" w:rsidP="005C6FFC">
            <w:pPr>
              <w:pStyle w:val="Default"/>
              <w:ind w:firstLine="39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12534">
              <w:rPr>
                <w:rFonts w:ascii="PT Astra Serif" w:hAnsi="PT Astra Serif"/>
                <w:sz w:val="22"/>
                <w:szCs w:val="22"/>
              </w:rPr>
              <w:t xml:space="preserve">Трансформация в структуре фитобентоса Новороссийской бухты началась с середины 2000-х гг. и имеет черты дегрессивной сукцессии. В начале 2010-х гг. начались </w:t>
            </w:r>
            <w:r w:rsidR="005C6FFC">
              <w:rPr>
                <w:rFonts w:ascii="PT Astra Serif" w:hAnsi="PT Astra Serif"/>
                <w:sz w:val="22"/>
                <w:szCs w:val="22"/>
              </w:rPr>
              <w:t>реконструкция и расш</w:t>
            </w:r>
            <w:r w:rsidR="005C6FFC">
              <w:rPr>
                <w:rFonts w:ascii="PT Astra Serif" w:hAnsi="PT Astra Serif"/>
                <w:sz w:val="22"/>
                <w:szCs w:val="22"/>
              </w:rPr>
              <w:t>и</w:t>
            </w:r>
            <w:r w:rsidR="005C6FFC">
              <w:rPr>
                <w:rFonts w:ascii="PT Astra Serif" w:hAnsi="PT Astra Serif"/>
                <w:sz w:val="22"/>
                <w:szCs w:val="22"/>
              </w:rPr>
              <w:t>рение Ново</w:t>
            </w:r>
            <w:r w:rsidRPr="00A12534">
              <w:rPr>
                <w:rFonts w:ascii="PT Astra Serif" w:hAnsi="PT Astra Serif"/>
                <w:sz w:val="22"/>
                <w:szCs w:val="22"/>
              </w:rPr>
              <w:t>российского морского порта, что обозначило необходимость оценить состояние ма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к</w:t>
            </w:r>
            <w:r w:rsidRPr="00A12534">
              <w:rPr>
                <w:rFonts w:ascii="PT Astra Serif" w:hAnsi="PT Astra Serif"/>
                <w:sz w:val="22"/>
                <w:szCs w:val="22"/>
              </w:rPr>
              <w:t>рофитобентоса до начала масштабных изменений в прибрежной зоне и акватории бухты. Монит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о</w:t>
            </w:r>
            <w:r w:rsidRPr="00A12534">
              <w:rPr>
                <w:rFonts w:ascii="PT Astra Serif" w:hAnsi="PT Astra Serif"/>
                <w:sz w:val="22"/>
                <w:szCs w:val="22"/>
              </w:rPr>
              <w:t xml:space="preserve">ринг макрофитобентоса этой бухты в летний период 2011 г. показал наличие 102 видов </w:t>
            </w:r>
            <w:r w:rsidRPr="00A1253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водорослей-макрофитов: зеленых – 26, красных – 53, бурых – 23. По числу видов преобладали представители родов </w:t>
            </w:r>
            <w:r w:rsidRPr="00A12534">
              <w:rPr>
                <w:rFonts w:ascii="PT Astra Serif" w:hAnsi="PT Astra Serif"/>
                <w:i/>
                <w:iCs/>
                <w:sz w:val="22"/>
                <w:szCs w:val="22"/>
              </w:rPr>
              <w:t>Ulva</w:t>
            </w:r>
            <w:r w:rsidRPr="00A12534">
              <w:rPr>
                <w:rFonts w:ascii="PT Astra Serif" w:hAnsi="PT Astra Serif"/>
                <w:sz w:val="22"/>
                <w:szCs w:val="22"/>
              </w:rPr>
              <w:t xml:space="preserve">, </w:t>
            </w:r>
            <w:r w:rsidRPr="00A12534">
              <w:rPr>
                <w:rFonts w:ascii="PT Astra Serif" w:hAnsi="PT Astra Serif"/>
                <w:i/>
                <w:iCs/>
                <w:sz w:val="22"/>
                <w:szCs w:val="22"/>
              </w:rPr>
              <w:t>Cladophora</w:t>
            </w:r>
            <w:r w:rsidRPr="00A12534">
              <w:rPr>
                <w:rFonts w:ascii="PT Astra Serif" w:hAnsi="PT Astra Serif"/>
                <w:sz w:val="22"/>
                <w:szCs w:val="22"/>
              </w:rPr>
              <w:t xml:space="preserve">, </w:t>
            </w:r>
            <w:r w:rsidRPr="00A12534">
              <w:rPr>
                <w:rFonts w:ascii="PT Astra Serif" w:hAnsi="PT Astra Serif"/>
                <w:i/>
                <w:iCs/>
                <w:sz w:val="22"/>
                <w:szCs w:val="22"/>
              </w:rPr>
              <w:t>Ceramium</w:t>
            </w:r>
            <w:r w:rsidRPr="00A12534">
              <w:rPr>
                <w:rFonts w:ascii="PT Astra Serif" w:hAnsi="PT Astra Serif"/>
                <w:sz w:val="22"/>
                <w:szCs w:val="22"/>
              </w:rPr>
              <w:t xml:space="preserve">, </w:t>
            </w:r>
            <w:r w:rsidRPr="00A12534">
              <w:rPr>
                <w:rFonts w:ascii="PT Astra Serif" w:hAnsi="PT Astra Serif"/>
                <w:i/>
                <w:iCs/>
                <w:sz w:val="22"/>
                <w:szCs w:val="22"/>
              </w:rPr>
              <w:t>Polysiphonia</w:t>
            </w:r>
            <w:r w:rsidRPr="00A12534">
              <w:rPr>
                <w:rFonts w:ascii="PT Astra Serif" w:hAnsi="PT Astra Serif"/>
                <w:sz w:val="22"/>
                <w:szCs w:val="22"/>
              </w:rPr>
              <w:t xml:space="preserve">, </w:t>
            </w:r>
            <w:r w:rsidRPr="00A12534">
              <w:rPr>
                <w:rFonts w:ascii="PT Astra Serif" w:hAnsi="PT Astra Serif"/>
                <w:i/>
                <w:iCs/>
                <w:sz w:val="22"/>
                <w:szCs w:val="22"/>
              </w:rPr>
              <w:t>Ectocarpus</w:t>
            </w:r>
            <w:r w:rsidRPr="00A12534">
              <w:rPr>
                <w:rFonts w:ascii="PT Astra Serif" w:hAnsi="PT Astra Serif"/>
                <w:sz w:val="22"/>
                <w:szCs w:val="22"/>
              </w:rPr>
              <w:t>. Наибольшее видовое разнообразие было отмечено для относительно чистых, удаленных от портовой акватории учас</w:t>
            </w:r>
            <w:r w:rsidRPr="00A12534">
              <w:rPr>
                <w:rFonts w:ascii="PT Astra Serif" w:hAnsi="PT Astra Serif"/>
                <w:sz w:val="22"/>
                <w:szCs w:val="22"/>
              </w:rPr>
              <w:t>т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ков восточного и западного прибрежья. Индекс разнообразия Шеннона (</w:t>
            </w:r>
            <w:r w:rsidRPr="00A12534">
              <w:rPr>
                <w:rFonts w:ascii="PT Astra Serif" w:hAnsi="PT Astra Serif"/>
                <w:i/>
                <w:iCs/>
                <w:sz w:val="22"/>
                <w:szCs w:val="22"/>
              </w:rPr>
              <w:t>H</w:t>
            </w:r>
            <w:r w:rsidRPr="00A12534">
              <w:rPr>
                <w:rFonts w:ascii="PT Astra Serif" w:hAnsi="PT Astra Serif"/>
                <w:sz w:val="22"/>
                <w:szCs w:val="22"/>
              </w:rPr>
              <w:t>) для акватории порта составил 1,64, для западного берега 2,08, для восточного берега – 2,18. Биомасса водорослей Н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о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вороссийской бухты изменялась в значительном диапазоне: 0,3 кг/м</w:t>
            </w:r>
            <w:r w:rsidRPr="005C6FFC">
              <w:rPr>
                <w:rFonts w:ascii="PT Astra Serif" w:hAnsi="PT Astra Serif"/>
                <w:sz w:val="22"/>
                <w:szCs w:val="22"/>
                <w:vertAlign w:val="superscript"/>
              </w:rPr>
              <w:t>2</w:t>
            </w:r>
            <w:r w:rsidRPr="00A12534">
              <w:rPr>
                <w:rFonts w:ascii="PT Astra Serif" w:hAnsi="PT Astra Serif"/>
                <w:sz w:val="22"/>
                <w:szCs w:val="22"/>
              </w:rPr>
              <w:t xml:space="preserve"> в районе порта, 1,5–1,8 кг/м</w:t>
            </w:r>
            <w:r w:rsidRPr="005C6FFC">
              <w:rPr>
                <w:rFonts w:ascii="PT Astra Serif" w:hAnsi="PT Astra Serif"/>
                <w:sz w:val="22"/>
                <w:szCs w:val="22"/>
                <w:vertAlign w:val="superscript"/>
              </w:rPr>
              <w:t>2</w:t>
            </w:r>
            <w:r w:rsidRPr="00A12534">
              <w:rPr>
                <w:rFonts w:ascii="PT Astra Serif" w:hAnsi="PT Astra Serif"/>
                <w:sz w:val="22"/>
                <w:szCs w:val="22"/>
              </w:rPr>
              <w:t xml:space="preserve"> в средней части бухты, 3–3,5 кг/м</w:t>
            </w:r>
            <w:r w:rsidRPr="005C6FFC">
              <w:rPr>
                <w:rFonts w:ascii="PT Astra Serif" w:hAnsi="PT Astra Serif"/>
                <w:sz w:val="22"/>
                <w:szCs w:val="22"/>
                <w:vertAlign w:val="superscript"/>
              </w:rPr>
              <w:t>2</w:t>
            </w:r>
            <w:r w:rsidRPr="00A12534">
              <w:rPr>
                <w:rFonts w:ascii="PT Astra Serif" w:hAnsi="PT Astra Serif"/>
                <w:sz w:val="22"/>
                <w:szCs w:val="22"/>
              </w:rPr>
              <w:t xml:space="preserve"> – на выходе из бухты. К концу 2000-х гг. видовое разнообразие фитобентоса Новороссийской бухты уменьшилось в 1,5 раза в сравнении с 1970-ми гг., в основном за счет холодноводной группы водорослей. В настоящее время преобладают поли- и мезосапроб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и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онтные виды тепловодного комплекса. В три раза по сравнению с 1960-ми гг. сократились площ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а</w:t>
            </w:r>
            <w:r w:rsidRPr="00A12534">
              <w:rPr>
                <w:rFonts w:ascii="PT Astra Serif" w:hAnsi="PT Astra Serif"/>
                <w:sz w:val="22"/>
                <w:szCs w:val="22"/>
              </w:rPr>
              <w:t xml:space="preserve">ди бурой водоросли </w:t>
            </w:r>
            <w:r w:rsidRPr="00A12534">
              <w:rPr>
                <w:rFonts w:ascii="PT Astra Serif" w:hAnsi="PT Astra Serif"/>
                <w:i/>
                <w:iCs/>
                <w:sz w:val="22"/>
                <w:szCs w:val="22"/>
              </w:rPr>
              <w:t xml:space="preserve">Cystoseira </w:t>
            </w:r>
            <w:r w:rsidRPr="00A12534">
              <w:rPr>
                <w:rFonts w:ascii="PT Astra Serif" w:hAnsi="PT Astra Serif"/>
                <w:sz w:val="22"/>
                <w:szCs w:val="22"/>
              </w:rPr>
              <w:t>– основного эдификатора и средообразующего вида зарослей ср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е</w:t>
            </w:r>
            <w:r w:rsidRPr="00A12534">
              <w:rPr>
                <w:rFonts w:ascii="PT Astra Serif" w:hAnsi="PT Astra Serif"/>
                <w:sz w:val="22"/>
                <w:szCs w:val="22"/>
              </w:rPr>
              <w:t xml:space="preserve">диземноморского типа. На фоне потепления поверхностного слоя вод Черного моря и негативного действия этого фактора на сообщества </w:t>
            </w:r>
            <w:r w:rsidRPr="00A12534">
              <w:rPr>
                <w:rFonts w:ascii="PT Astra Serif" w:hAnsi="PT Astra Serif"/>
                <w:i/>
                <w:iCs/>
                <w:sz w:val="22"/>
                <w:szCs w:val="22"/>
              </w:rPr>
              <w:t xml:space="preserve">Cystoseira </w:t>
            </w:r>
            <w:r w:rsidRPr="00A12534">
              <w:rPr>
                <w:rFonts w:ascii="PT Astra Serif" w:hAnsi="PT Astra Serif"/>
                <w:sz w:val="22"/>
                <w:szCs w:val="22"/>
              </w:rPr>
              <w:t>неразумная хозяйственная деятельность может привести к полному исчезновению многолетних черноморских сообществ водорослей в Новоро</w:t>
            </w:r>
            <w:r w:rsidRPr="00A12534">
              <w:rPr>
                <w:rFonts w:ascii="PT Astra Serif" w:hAnsi="PT Astra Serif"/>
                <w:sz w:val="22"/>
                <w:szCs w:val="22"/>
              </w:rPr>
              <w:t>с</w:t>
            </w:r>
            <w:r w:rsidRPr="00A12534">
              <w:rPr>
                <w:rFonts w:ascii="PT Astra Serif" w:hAnsi="PT Astra Serif"/>
                <w:sz w:val="22"/>
                <w:szCs w:val="22"/>
              </w:rPr>
              <w:t xml:space="preserve">сийской бухте. </w:t>
            </w:r>
          </w:p>
          <w:p w:rsidR="005C6FFC" w:rsidRDefault="005C6FFC" w:rsidP="005C6FFC">
            <w:pPr>
              <w:pStyle w:val="Default"/>
              <w:ind w:firstLine="397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A12534" w:rsidRPr="00A12534" w:rsidRDefault="00A12534" w:rsidP="005C6FFC">
            <w:pPr>
              <w:pStyle w:val="Default"/>
              <w:ind w:firstLine="39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12534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Ключевые слова: </w:t>
            </w:r>
            <w:r w:rsidRPr="00A12534">
              <w:rPr>
                <w:rFonts w:ascii="PT Astra Serif" w:hAnsi="PT Astra Serif"/>
                <w:sz w:val="22"/>
                <w:szCs w:val="22"/>
              </w:rPr>
              <w:t xml:space="preserve">загрязнение, изменения климата, макроводоросли, Новороссийская бухта, Черное море. </w:t>
            </w:r>
          </w:p>
          <w:p w:rsidR="005C6FFC" w:rsidRDefault="005C6FFC" w:rsidP="005C6FFC">
            <w:pPr>
              <w:pStyle w:val="Default"/>
              <w:ind w:firstLine="397"/>
              <w:jc w:val="right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  <w:p w:rsidR="00A12534" w:rsidRDefault="00A12534" w:rsidP="005C6FFC">
            <w:pPr>
              <w:pStyle w:val="Default"/>
              <w:ind w:firstLine="397"/>
              <w:jc w:val="right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A12534">
              <w:rPr>
                <w:rFonts w:ascii="PT Astra Serif" w:hAnsi="PT Astra Serif"/>
                <w:i/>
                <w:iCs/>
                <w:sz w:val="22"/>
                <w:szCs w:val="22"/>
              </w:rPr>
              <w:t>DOI: 10.17217/2079-0333-2018-45-110-116</w:t>
            </w:r>
          </w:p>
          <w:p w:rsidR="005C6FFC" w:rsidRPr="00A12534" w:rsidRDefault="005C6FFC" w:rsidP="005C6FFC">
            <w:pPr>
              <w:pStyle w:val="Default"/>
              <w:ind w:firstLine="397"/>
              <w:jc w:val="right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A12534" w:rsidRPr="00A12534" w:rsidRDefault="00A12534" w:rsidP="00A12534">
      <w:pPr>
        <w:spacing w:after="0" w:line="240" w:lineRule="auto"/>
        <w:ind w:firstLine="397"/>
        <w:rPr>
          <w:rFonts w:ascii="PT Astra Serif" w:hAnsi="PT Astra Serif"/>
        </w:rPr>
      </w:pPr>
    </w:p>
    <w:sectPr w:rsidR="00A12534" w:rsidRPr="00A12534" w:rsidSect="00A1253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 w:grammar="clean"/>
  <w:defaultTabStop w:val="708"/>
  <w:autoHyphenation/>
  <w:consecutiveHyphenLimit w:val="3"/>
  <w:hyphenationZone w:val="357"/>
  <w:characterSpacingControl w:val="doNotCompress"/>
  <w:compat/>
  <w:rsids>
    <w:rsidRoot w:val="00A12534"/>
    <w:rsid w:val="00054AB9"/>
    <w:rsid w:val="00485E62"/>
    <w:rsid w:val="004A39F1"/>
    <w:rsid w:val="005C6FFC"/>
    <w:rsid w:val="009E231D"/>
    <w:rsid w:val="00A12534"/>
    <w:rsid w:val="00A5460B"/>
    <w:rsid w:val="00C14D10"/>
    <w:rsid w:val="00C8282B"/>
    <w:rsid w:val="00F1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unhideWhenUsed/>
    <w:rsid w:val="00A12534"/>
    <w:rPr>
      <w:sz w:val="16"/>
      <w:szCs w:val="16"/>
    </w:rPr>
  </w:style>
  <w:style w:type="paragraph" w:customStyle="1" w:styleId="Default">
    <w:name w:val="Default"/>
    <w:rsid w:val="00A125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3103</Words>
  <Characters>17692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babuh_ee</dc:creator>
  <cp:lastModifiedBy>babuh_ee</cp:lastModifiedBy>
  <cp:revision>1</cp:revision>
  <dcterms:created xsi:type="dcterms:W3CDTF">2023-09-26T23:03:00Z</dcterms:created>
  <dcterms:modified xsi:type="dcterms:W3CDTF">2023-09-26T23:50:00Z</dcterms:modified>
</cp:coreProperties>
</file>