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Согласие на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обработку персональных данных, разрешенных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субъектом 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персональных данных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распространения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(далее – Субъект)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 поступающего на обучение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__________ номер ___________, кем и когда выдан _________________________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субъекта персональных данных (заполняется в случае, если поступающий является лицом, не достигшим 18-ти лет)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 родителя, опекуна, попечителя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__________ номер ___________, кем и когда выдан _________________________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/>
    </w:p>
    <w:p>
      <w:pPr>
        <w:jc w:val="both"/>
        <w:spacing w:after="0"/>
        <w:rPr>
          <w:rStyle w:val="820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985520</wp:posOffset>
                </wp:positionV>
                <wp:extent cx="228600" cy="1714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" cy="171450"/>
                        </a:xfrm>
                        <a:custGeom>
                          <a:avLst>
                            <a:gd name="adj0" fmla="val 18900"/>
                          </a:avLst>
                          <a:gdLst>
                            <a:gd name="gd0" fmla="val 65536"/>
                            <a:gd name="gd1" fmla="val adj0"/>
                            <a:gd name="gd2" fmla="+- 21600 0 gd1"/>
                            <a:gd name="gd3" fmla="*/ gd2 8481 32768"/>
                            <a:gd name="gd4" fmla="+- gd3 gd1 0"/>
                            <a:gd name="gd5" fmla="*/ gd2 1117 32768"/>
                            <a:gd name="gd6" fmla="+- gd5 gd1 0"/>
                            <a:gd name="gd7" fmla="*/ gd2 11764 32768"/>
                            <a:gd name="gd8" fmla="+- gd7 gd1 0"/>
                            <a:gd name="gd9" fmla="*/ gd2 6144 32768"/>
                            <a:gd name="gd10" fmla="+- gd9 gd1 0"/>
                            <a:gd name="gd11" fmla="*/ gd2 20480 32768"/>
                            <a:gd name="gd12" fmla="+- gd11 gd1 0"/>
                            <a:gd name="gd13" fmla="*/ gd2 6144 32768"/>
                            <a:gd name="gd14" fmla="+- gd13 gd1 0"/>
                            <a:gd name="gd15" fmla="val 0"/>
                            <a:gd name="gd16" fmla="val 0"/>
                            <a:gd name="gd17" fmla="val 0"/>
                            <a:gd name="gd18" fmla="val 21600"/>
                            <a:gd name="gd19" fmla="val gd1"/>
                            <a:gd name="gd20" fmla="val 21600"/>
                            <a:gd name="gd21" fmla="val 21600"/>
                            <a:gd name="gd22" fmla="val gd1"/>
                            <a:gd name="gd23" fmla="val 21600"/>
                            <a:gd name="gd24" fmla="val 0"/>
                            <a:gd name="gd25" fmla="val gd1"/>
                            <a:gd name="gd26" fmla="val 21600"/>
                            <a:gd name="gd27" fmla="val gd4"/>
                            <a:gd name="gd28" fmla="val gd6"/>
                            <a:gd name="gd29" fmla="val 21600"/>
                            <a:gd name="gd30" fmla="val gd1"/>
                            <a:gd name="gd31" fmla="*/ w 0 21600"/>
                            <a:gd name="gd32" fmla="*/ h 0 21600"/>
                            <a:gd name="gd33" fmla="*/ w 21600 21600"/>
                            <a:gd name="gd34" fmla="*/ h gd14 21600"/>
                            <a:gd name="gd35" fmla="*/ w adj0 21600"/>
                            <a:gd name="gd36" fmla="*/ h 1 1"/>
                          </a:gdLst>
                          <a:ahLst>
                            <a:ahXY gdRefX="adj0" minX="10800" maxX="21600">
                              <a:pos x="gd35" y="gd36"/>
                            </a:ahXY>
                          </a:ahLst>
                          <a:cxnLst/>
                          <a:rect l="gd31" t="gd32" r="gd33" b="gd34"/>
                          <a:pathLst>
                            <a:path w="21600" h="21600" fill="norm" stroke="1" extrusionOk="0">
                              <a:moveTo>
                                <a:pt x="gd15" y="gd16"/>
                              </a:move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1600" h="21600" fill="none" stroke="1" extrusionOk="0"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cubicBezTo>
                                <a:pt x="gd8" y="gd10"/>
                                <a:pt x="gd12" y="gd14"/>
                                <a:pt x="21600" y="gd1"/>
                              </a:cubicBezTo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58240;o:allowoverlap:true;o:allowincell:true;mso-position-horizontal-relative:text;margin-left:6.3pt;mso-position-horizontal:absolute;mso-position-vertical-relative:text;margin-top:77.6pt;mso-position-vertical:absolute;width:18.0pt;height:13.5pt;mso-wrap-distance-left:9.0pt;mso-wrap-distance-top:0.0pt;mso-wrap-distance-right:9.0pt;mso-wrap-distance-bottom:0.0pt;visibility:visible;" path="m0,0l0,100000l87500,100000l100000,87500l100000,0xem87500,100000l90734,87926l90734,87926c91986,89843,95313,89843,100000,87500nfee" coordsize="100000,100000" fillcolor="#FFFFFF" strokecolor="#000000">
                <v:path textboxrect="0,0,100000,89842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статьей 10.1 Федерального закона от 27.07.2006 № 152-ФЗ «О персональных данных», даю</w:t>
      </w:r>
      <w:r>
        <w:rPr>
          <w:rFonts w:ascii="Times New Roman" w:hAnsi="Times New Roman" w:cs="Times New Roman"/>
          <w:sz w:val="24"/>
          <w:szCs w:val="24"/>
        </w:rPr>
        <w:t xml:space="preserve"> своё</w:t>
      </w:r>
      <w:r>
        <w:rPr>
          <w:rFonts w:ascii="Times New Roman" w:hAnsi="Times New Roman" w:cs="Times New Roman"/>
          <w:sz w:val="24"/>
          <w:szCs w:val="24"/>
        </w:rPr>
        <w:t xml:space="preserve"> согласие </w:t>
      </w:r>
      <w:r>
        <w:rPr>
          <w:rStyle w:val="820"/>
          <w:rFonts w:eastAsiaTheme="minorEastAsia"/>
          <w:i w:val="0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«Камчатский государственный технический университет»</w:t>
      </w:r>
      <w:r>
        <w:rPr>
          <w:rStyle w:val="820"/>
          <w:rFonts w:eastAsiaTheme="minorEastAsia"/>
          <w:i w:val="0"/>
          <w:sz w:val="24"/>
          <w:szCs w:val="24"/>
        </w:rPr>
        <w:t xml:space="preserve"> (далее – Оператор, Университет)</w:t>
      </w:r>
      <w:r>
        <w:rPr>
          <w:rStyle w:val="820"/>
          <w:rFonts w:eastAsiaTheme="minorEastAsia"/>
          <w:i w:val="0"/>
          <w:sz w:val="24"/>
          <w:szCs w:val="24"/>
        </w:rPr>
        <w:t xml:space="preserve"> на распространение </w:t>
      </w:r>
      <w:r>
        <w:rPr>
          <w:rStyle w:val="820"/>
          <w:rFonts w:eastAsiaTheme="minorEastAsia"/>
          <w:i w:val="0"/>
          <w:sz w:val="24"/>
          <w:szCs w:val="24"/>
        </w:rPr>
        <w:t xml:space="preserve">(далее – </w:t>
      </w:r>
      <w:r>
        <w:rPr>
          <w:rStyle w:val="820"/>
          <w:rFonts w:eastAsiaTheme="minorEastAsia"/>
          <w:sz w:val="24"/>
          <w:szCs w:val="24"/>
        </w:rPr>
        <w:t xml:space="preserve">Согласие) (далее выбрать и поставить отметку)</w:t>
      </w:r>
      <w:r/>
    </w:p>
    <w:p>
      <w:pPr>
        <w:ind w:firstLine="708"/>
        <w:jc w:val="both"/>
        <w:spacing w:after="0"/>
        <w:rPr>
          <w:rStyle w:val="820"/>
          <w:rFonts w:eastAsiaTheme="minorEastAsia"/>
          <w:i w:val="0"/>
          <w:sz w:val="24"/>
          <w:szCs w:val="24"/>
        </w:rPr>
      </w:pPr>
      <w:r>
        <w:rPr>
          <w:rStyle w:val="820"/>
          <w:rFonts w:eastAsiaTheme="minorEastAsia"/>
          <w:i w:val="0"/>
          <w:sz w:val="24"/>
          <w:szCs w:val="24"/>
        </w:rPr>
        <w:t xml:space="preserve">моих персональных данных (если Субъект является совершеннолетним лицом)</w:t>
      </w:r>
      <w:r/>
    </w:p>
    <w:p>
      <w:pPr>
        <w:jc w:val="both"/>
        <w:spacing w:after="0"/>
        <w:tabs>
          <w:tab w:val="left" w:pos="750" w:leader="none"/>
        </w:tabs>
        <w:rPr>
          <w:rStyle w:val="820"/>
          <w:rFonts w:eastAsiaTheme="minorEastAsia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23495</wp:posOffset>
                </wp:positionV>
                <wp:extent cx="228600" cy="17145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" cy="171450"/>
                        </a:xfrm>
                        <a:custGeom>
                          <a:avLst>
                            <a:gd name="adj0" fmla="val 18900"/>
                          </a:avLst>
                          <a:gdLst>
                            <a:gd name="gd0" fmla="val 65536"/>
                            <a:gd name="gd1" fmla="val adj0"/>
                            <a:gd name="gd2" fmla="+- 21600 0 gd1"/>
                            <a:gd name="gd3" fmla="*/ gd2 8481 32768"/>
                            <a:gd name="gd4" fmla="+- gd3 gd1 0"/>
                            <a:gd name="gd5" fmla="*/ gd2 1117 32768"/>
                            <a:gd name="gd6" fmla="+- gd5 gd1 0"/>
                            <a:gd name="gd7" fmla="*/ gd2 11764 32768"/>
                            <a:gd name="gd8" fmla="+- gd7 gd1 0"/>
                            <a:gd name="gd9" fmla="*/ gd2 6144 32768"/>
                            <a:gd name="gd10" fmla="+- gd9 gd1 0"/>
                            <a:gd name="gd11" fmla="*/ gd2 20480 32768"/>
                            <a:gd name="gd12" fmla="+- gd11 gd1 0"/>
                            <a:gd name="gd13" fmla="*/ gd2 6144 32768"/>
                            <a:gd name="gd14" fmla="+- gd13 gd1 0"/>
                            <a:gd name="gd15" fmla="val 0"/>
                            <a:gd name="gd16" fmla="val 0"/>
                            <a:gd name="gd17" fmla="val 0"/>
                            <a:gd name="gd18" fmla="val 21600"/>
                            <a:gd name="gd19" fmla="val gd1"/>
                            <a:gd name="gd20" fmla="val 21600"/>
                            <a:gd name="gd21" fmla="val 21600"/>
                            <a:gd name="gd22" fmla="val gd1"/>
                            <a:gd name="gd23" fmla="val 21600"/>
                            <a:gd name="gd24" fmla="val 0"/>
                            <a:gd name="gd25" fmla="val gd1"/>
                            <a:gd name="gd26" fmla="val 21600"/>
                            <a:gd name="gd27" fmla="val gd4"/>
                            <a:gd name="gd28" fmla="val gd6"/>
                            <a:gd name="gd29" fmla="val 21600"/>
                            <a:gd name="gd30" fmla="val gd1"/>
                            <a:gd name="gd31" fmla="*/ w 0 21600"/>
                            <a:gd name="gd32" fmla="*/ h 0 21600"/>
                            <a:gd name="gd33" fmla="*/ w 21600 21600"/>
                            <a:gd name="gd34" fmla="*/ h gd14 21600"/>
                            <a:gd name="gd35" fmla="*/ w adj0 21600"/>
                            <a:gd name="gd36" fmla="*/ h 1 1"/>
                          </a:gdLst>
                          <a:ahLst>
                            <a:ahXY gdRefX="adj0" minX="10800" maxX="21600">
                              <a:pos x="gd35" y="gd36"/>
                            </a:ahXY>
                          </a:ahLst>
                          <a:cxnLst/>
                          <a:rect l="gd31" t="gd32" r="gd33" b="gd34"/>
                          <a:pathLst>
                            <a:path w="21600" h="21600" fill="norm" stroke="1" extrusionOk="0">
                              <a:moveTo>
                                <a:pt x="gd15" y="gd16"/>
                              </a:move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1600" h="21600" fill="none" stroke="1" extrusionOk="0"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cubicBezTo>
                                <a:pt x="gd8" y="gd10"/>
                                <a:pt x="gd12" y="gd14"/>
                                <a:pt x="21600" y="gd1"/>
                              </a:cubicBezTo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6.3pt;mso-position-horizontal:absolute;mso-position-vertical-relative:text;margin-top:1.8pt;mso-position-vertical:absolute;width:18.0pt;height:13.5pt;mso-wrap-distance-left:9.0pt;mso-wrap-distance-top:0.0pt;mso-wrap-distance-right:9.0pt;mso-wrap-distance-bottom:0.0pt;visibility:visible;" path="m0,0l0,100000l87500,100000l100000,87500l100000,0xem87500,100000l90734,87926l90734,87926c91986,89843,95313,89843,100000,87500nfee" coordsize="100000,100000" fillcolor="#FFFFFF" strokecolor="#000000">
                <v:path textboxrect="0,0,100000,89842"/>
              </v:shape>
            </w:pict>
          </mc:Fallback>
        </mc:AlternateContent>
      </w:r>
      <w:r>
        <w:rPr>
          <w:rStyle w:val="820"/>
          <w:rFonts w:eastAsiaTheme="minorEastAsia"/>
          <w:i w:val="0"/>
          <w:sz w:val="24"/>
          <w:szCs w:val="24"/>
        </w:rPr>
        <w:tab/>
        <w:t xml:space="preserve">персональных данных несовершеннолетнего (если Субъект не достиг возраста 18-ти лет)</w:t>
      </w:r>
      <w:r/>
    </w:p>
    <w:p>
      <w:pPr>
        <w:jc w:val="both"/>
        <w:spacing w:after="0"/>
        <w:tabs>
          <w:tab w:val="left" w:pos="750" w:leader="none"/>
        </w:tabs>
        <w:rPr>
          <w:rStyle w:val="820"/>
          <w:rFonts w:eastAsiaTheme="minorEastAsia"/>
          <w:i w:val="0"/>
          <w:sz w:val="24"/>
          <w:szCs w:val="24"/>
        </w:rPr>
      </w:pPr>
      <w:r>
        <w:rPr>
          <w:rStyle w:val="820"/>
          <w:rFonts w:eastAsiaTheme="minorEastAsia"/>
          <w:i w:val="0"/>
          <w:sz w:val="24"/>
          <w:szCs w:val="24"/>
        </w:rPr>
        <w:t xml:space="preserve">с целью размещения информации по поступлению в Университет на официальном сайте Университета в сети Интернет.</w:t>
      </w:r>
      <w:r/>
    </w:p>
    <w:p>
      <w:pPr>
        <w:jc w:val="both"/>
        <w:spacing w:after="0"/>
        <w:tabs>
          <w:tab w:val="left" w:pos="7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820"/>
          <w:rFonts w:eastAsiaTheme="minorEastAsia"/>
          <w:i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передаваемых Университету</w:t>
      </w:r>
      <w:r>
        <w:rPr>
          <w:rFonts w:ascii="Times New Roman" w:hAnsi="Times New Roman" w:cs="Times New Roman"/>
          <w:sz w:val="24"/>
          <w:szCs w:val="24"/>
        </w:rPr>
        <w:t xml:space="preserve"> для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анные о конкурсах, на которые поданы заявления о приёме на обучение;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</w:t>
      </w:r>
      <w:r>
        <w:rPr>
          <w:rFonts w:ascii="Times New Roman" w:hAnsi="Times New Roman" w:cs="Times New Roman"/>
          <w:sz w:val="24"/>
          <w:szCs w:val="24"/>
        </w:rPr>
        <w:t xml:space="preserve">рма сдачи и результаты вступительных испытаний;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 достижения и баллы, начисленные за них;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рождения, а так</w:t>
      </w:r>
      <w:r>
        <w:rPr>
          <w:rFonts w:ascii="Times New Roman" w:hAnsi="Times New Roman" w:cs="Times New Roman"/>
          <w:sz w:val="24"/>
          <w:szCs w:val="24"/>
        </w:rPr>
        <w:t xml:space="preserve">же иные данные, содержащиеся в удостоверении личности;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регистрационный номер страхового свидетельства обязательного пенсионного страхования (СНИЛС)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bookmarkStart w:id="0" w:name="_GoBack"/>
      <w:r/>
      <w:bookmarkEnd w:id="0"/>
      <w:r/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 образовании, квалификации, профессиональной подготовке, сведения о повышении квалификации;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или отсутствии особых прав, в том числе о социальном статусе и социальных льготах;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наличия особых или преимущественных прав;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подачи заявления о согласии на зачисление;</w:t>
      </w:r>
      <w:r/>
    </w:p>
    <w:p>
      <w:pPr>
        <w:pStyle w:val="822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оплате (при условии поступления на обучение на платной основе).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дано </w:t>
      </w:r>
      <w:r>
        <w:rPr>
          <w:rFonts w:ascii="Times New Roman" w:hAnsi="Times New Roman" w:cs="Times New Roman"/>
          <w:sz w:val="24"/>
          <w:szCs w:val="24"/>
        </w:rPr>
        <w:t xml:space="preserve">на период приема документов, проведения вступительных испытаний, зачисления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ФГБОУ ВО «КамчатГТУ».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персональных данных прекращается по истечении полугода с даты завершения приёмной кампании, и данные удаляются (уничтожаются) из информационных систем Университета после указанного срока (кро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е сведений, хранение которых обусловлено требованиями законодательства российской Федерации).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любое время путем подачи заявления Оператору. При поступлении в Университет письменного заявления Субъекта о прекращении действия настоящего Согласия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деперсонализируются</w:t>
      </w:r>
      <w:r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«____»______________20__г.                                                                ________________________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подпись</w:t>
      </w:r>
      <w:r/>
    </w:p>
    <w:sectPr>
      <w:footnotePr/>
      <w:endnotePr/>
      <w:type w:val="nextPage"/>
      <w:pgSz w:w="11906" w:h="16838" w:orient="portrait"/>
      <w:pgMar w:top="1134" w:right="850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 w:customStyle="1">
    <w:name w:val="Основной текст + Курсив"/>
    <w:basedOn w:val="817"/>
    <w:rPr>
      <w:rFonts w:ascii="Times New Roman" w:hAnsi="Times New Roman" w:eastAsia="Times New Roman" w:cs="Times New Roman"/>
      <w:i/>
      <w:i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styleId="821">
    <w:name w:val="Hyperlink"/>
    <w:basedOn w:val="817"/>
    <w:uiPriority w:val="99"/>
    <w:unhideWhenUsed/>
    <w:rPr>
      <w:color w:val="0000ff" w:themeColor="hyperlink"/>
      <w:u w:val="single"/>
    </w:rPr>
  </w:style>
  <w:style w:type="paragraph" w:styleId="822">
    <w:name w:val="List Paragraph"/>
    <w:basedOn w:val="81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6E1A-51B2-45A9-A08D-8DE0775F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Блеклова</dc:creator>
  <cp:revision>12</cp:revision>
  <dcterms:created xsi:type="dcterms:W3CDTF">2021-06-15T01:41:00Z</dcterms:created>
  <dcterms:modified xsi:type="dcterms:W3CDTF">2023-07-05T01:19:55Z</dcterms:modified>
</cp:coreProperties>
</file>