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8" w:rsidRPr="009168C7" w:rsidRDefault="009168C7" w:rsidP="00916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C7">
        <w:rPr>
          <w:rFonts w:ascii="Times New Roman" w:hAnsi="Times New Roman" w:cs="Times New Roman"/>
          <w:b/>
          <w:sz w:val="24"/>
          <w:szCs w:val="24"/>
        </w:rPr>
        <w:t>Вестник 61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9571"/>
      </w:tblGrid>
      <w:tr w:rsidR="009168C7" w:rsidRPr="009168C7" w:rsidTr="009168C7">
        <w:trPr>
          <w:jc w:val="center"/>
        </w:trPr>
        <w:tc>
          <w:tcPr>
            <w:tcW w:w="9571" w:type="dxa"/>
          </w:tcPr>
          <w:p w:rsidR="009168C7" w:rsidRPr="009168C7" w:rsidRDefault="009168C7" w:rsidP="009168C7">
            <w:pPr>
              <w:widowControl w:val="0"/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УДК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</w:t>
            </w:r>
            <w:r w:rsidRPr="009168C7">
              <w:rPr>
                <w:rFonts w:ascii="Times New Roman" w:hAnsi="Times New Roman" w:cs="Times New Roman"/>
                <w:iCs/>
              </w:rPr>
              <w:t xml:space="preserve">631.4(571.66) </w:t>
            </w:r>
            <w:r w:rsidRPr="009168C7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168C7">
              <w:rPr>
                <w:rFonts w:ascii="Times New Roman" w:hAnsi="Times New Roman" w:cs="Times New Roman"/>
              </w:rPr>
              <w:t xml:space="preserve">                                               </w:t>
            </w:r>
            <w:proofErr w:type="spellStart"/>
            <w:r w:rsidRPr="009168C7">
              <w:rPr>
                <w:rFonts w:ascii="Times New Roman" w:hAnsi="Times New Roman" w:cs="Times New Roman"/>
              </w:rPr>
              <w:t>DOI</w:t>
            </w:r>
            <w:proofErr w:type="spellEnd"/>
            <w:r w:rsidRPr="009168C7">
              <w:rPr>
                <w:rFonts w:ascii="Times New Roman" w:hAnsi="Times New Roman" w:cs="Times New Roman"/>
              </w:rPr>
              <w:t>: 10.17217/2079-0333-2022-61-6-15</w:t>
            </w:r>
          </w:p>
          <w:p w:rsidR="009168C7" w:rsidRPr="009168C7" w:rsidRDefault="009168C7" w:rsidP="009168C7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pStyle w:val="1"/>
              <w:keepNext w:val="0"/>
              <w:widowControl w:val="0"/>
              <w:spacing w:before="0" w:after="0" w:line="288" w:lineRule="auto"/>
              <w:jc w:val="center"/>
              <w:outlineLvl w:val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8C7">
              <w:rPr>
                <w:rFonts w:ascii="Times New Roman" w:hAnsi="Times New Roman" w:cs="Times New Roman"/>
                <w:sz w:val="22"/>
                <w:szCs w:val="22"/>
              </w:rPr>
              <w:t xml:space="preserve">ПЕРСПЕКТИВЫ ИСПОЛЬЗОВАНИЯ БУРОЙ ВОДОРОСЛИ </w:t>
            </w:r>
            <w:proofErr w:type="spellStart"/>
            <w:r w:rsidRPr="009168C7"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  <w:t>FUCUS</w:t>
            </w:r>
            <w:proofErr w:type="spellEnd"/>
            <w:r w:rsidRPr="009168C7"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168C7"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  <w:t>DISTICHUS</w:t>
            </w:r>
            <w:proofErr w:type="spellEnd"/>
            <w:proofErr w:type="gramStart"/>
            <w:r w:rsidRPr="009168C7"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  <w:br/>
            </w:r>
            <w:r w:rsidRPr="009168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168C7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ТЕХНОЛОГИИ РЫБОМУЧНЫХ ИЗДЕЛИЙ</w:t>
            </w:r>
          </w:p>
          <w:p w:rsidR="009168C7" w:rsidRPr="009168C7" w:rsidRDefault="009168C7" w:rsidP="009168C7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pStyle w:val="1"/>
              <w:keepNext w:val="0"/>
              <w:widowControl w:val="0"/>
              <w:spacing w:before="0" w:after="0" w:line="288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9168C7">
              <w:rPr>
                <w:rFonts w:ascii="Times New Roman" w:hAnsi="Times New Roman" w:cs="Times New Roman"/>
                <w:b w:val="0"/>
                <w:sz w:val="22"/>
                <w:szCs w:val="22"/>
              </w:rPr>
              <w:t>Благонравова М.В.</w:t>
            </w:r>
          </w:p>
          <w:p w:rsidR="009168C7" w:rsidRPr="009168C7" w:rsidRDefault="009168C7" w:rsidP="009168C7">
            <w:pPr>
              <w:widowControl w:val="0"/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widowControl w:val="0"/>
              <w:tabs>
                <w:tab w:val="left" w:pos="4050"/>
              </w:tabs>
              <w:kinsoku w:val="0"/>
              <w:overflowPunct w:val="0"/>
              <w:spacing w:line="288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9168C7">
              <w:rPr>
                <w:rFonts w:ascii="Times New Roman" w:hAnsi="Times New Roman" w:cs="Times New Roman"/>
              </w:rPr>
              <w:t>г</w:t>
            </w:r>
            <w:proofErr w:type="gramEnd"/>
            <w:r w:rsidRPr="009168C7">
              <w:rPr>
                <w:rFonts w:ascii="Times New Roman" w:hAnsi="Times New Roman" w:cs="Times New Roman"/>
              </w:rPr>
              <w:t>. Петропавловск-Камчатский, ул. Кл</w:t>
            </w:r>
            <w:r w:rsidRPr="009168C7">
              <w:rPr>
                <w:rFonts w:ascii="Times New Roman" w:hAnsi="Times New Roman" w:cs="Times New Roman"/>
              </w:rPr>
              <w:t>ю</w:t>
            </w:r>
            <w:r w:rsidRPr="009168C7">
              <w:rPr>
                <w:rFonts w:ascii="Times New Roman" w:hAnsi="Times New Roman" w:cs="Times New Roman"/>
              </w:rPr>
              <w:t>чевская, 35.</w:t>
            </w:r>
          </w:p>
          <w:p w:rsidR="009168C7" w:rsidRPr="009168C7" w:rsidRDefault="009168C7" w:rsidP="009168C7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168C7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В статье приведены результаты исследований по разработке технологии рыбомучных изделий с внесением в качестве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структурорегулирующих</w:t>
            </w:r>
            <w:proofErr w:type="spellEnd"/>
            <w:r w:rsidRPr="009168C7">
              <w:rPr>
                <w:rFonts w:ascii="Times New Roman" w:hAnsi="Times New Roman" w:cs="Times New Roman"/>
              </w:rPr>
              <w:t>, вкусовых и обогащающих компонентов бурой в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 xml:space="preserve">доросли </w:t>
            </w:r>
            <w:proofErr w:type="spellStart"/>
            <w:r w:rsidRPr="009168C7">
              <w:rPr>
                <w:rFonts w:ascii="Times New Roman" w:hAnsi="Times New Roman" w:cs="Times New Roman"/>
                <w:i/>
                <w:iCs/>
                <w:lang w:val="en-US"/>
              </w:rPr>
              <w:t>Fucus</w:t>
            </w:r>
            <w:proofErr w:type="spellEnd"/>
            <w:r w:rsidRPr="00916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168C7">
              <w:rPr>
                <w:rFonts w:ascii="Times New Roman" w:hAnsi="Times New Roman" w:cs="Times New Roman"/>
                <w:i/>
                <w:iCs/>
                <w:lang w:val="en-US"/>
              </w:rPr>
              <w:t>distichus</w:t>
            </w:r>
            <w:proofErr w:type="spellEnd"/>
            <w:r w:rsidRPr="009168C7">
              <w:rPr>
                <w:rFonts w:ascii="Times New Roman" w:hAnsi="Times New Roman" w:cs="Times New Roman"/>
                <w:iCs/>
              </w:rPr>
              <w:t>,</w:t>
            </w:r>
            <w:r w:rsidRPr="00916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68C7">
              <w:rPr>
                <w:rFonts w:ascii="Times New Roman" w:hAnsi="Times New Roman" w:cs="Times New Roman"/>
              </w:rPr>
              <w:t>а также бульона, приготовленного из отходов от разделки кеты.  Привед</w:t>
            </w:r>
            <w:r w:rsidRPr="009168C7">
              <w:rPr>
                <w:rFonts w:ascii="Times New Roman" w:hAnsi="Times New Roman" w:cs="Times New Roman"/>
              </w:rPr>
              <w:t>е</w:t>
            </w:r>
            <w:r w:rsidRPr="009168C7">
              <w:rPr>
                <w:rFonts w:ascii="Times New Roman" w:hAnsi="Times New Roman" w:cs="Times New Roman"/>
              </w:rPr>
              <w:t>ны резул</w:t>
            </w:r>
            <w:r w:rsidRPr="009168C7">
              <w:rPr>
                <w:rFonts w:ascii="Times New Roman" w:hAnsi="Times New Roman" w:cs="Times New Roman"/>
              </w:rPr>
              <w:t>ь</w:t>
            </w:r>
            <w:r w:rsidRPr="009168C7">
              <w:rPr>
                <w:rFonts w:ascii="Times New Roman" w:hAnsi="Times New Roman" w:cs="Times New Roman"/>
              </w:rPr>
              <w:t xml:space="preserve">таты исследований влияния внесения фукусовых водорослей на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ПНС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, липкость и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ВУС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рыбного фарша, а также влияния замены воды в рецептуре теста на бульон. Показано, что внес</w:t>
            </w:r>
            <w:r w:rsidRPr="009168C7">
              <w:rPr>
                <w:rFonts w:ascii="Times New Roman" w:hAnsi="Times New Roman" w:cs="Times New Roman"/>
              </w:rPr>
              <w:t>е</w:t>
            </w:r>
            <w:r w:rsidRPr="009168C7">
              <w:rPr>
                <w:rFonts w:ascii="Times New Roman" w:hAnsi="Times New Roman" w:cs="Times New Roman"/>
              </w:rPr>
              <w:t>ние перечисленных добавок положительно влияет на реологические свойства рыбомучной пр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 xml:space="preserve">дукции, повышая прочность фарша, снижая потери влаги при термической обработке, повышая эластичность теста для производства пельменей. Приведена технологическая схема производства продукции, включающая операции по внесению водорослей и рыбного бульона. </w:t>
            </w:r>
          </w:p>
          <w:p w:rsidR="009168C7" w:rsidRPr="009168C7" w:rsidRDefault="009168C7" w:rsidP="009168C7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ab/>
            </w:r>
          </w:p>
          <w:p w:rsidR="009168C7" w:rsidRPr="009168C7" w:rsidRDefault="009168C7" w:rsidP="009168C7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  <w:b/>
              </w:rPr>
              <w:t xml:space="preserve">Ключевые слова: </w:t>
            </w:r>
            <w:r w:rsidRPr="009168C7">
              <w:rPr>
                <w:rFonts w:ascii="Times New Roman" w:hAnsi="Times New Roman" w:cs="Times New Roman"/>
              </w:rPr>
              <w:t xml:space="preserve">водоудерживающая способность, кета, липкость, </w:t>
            </w:r>
            <w:r w:rsidRPr="009168C7">
              <w:rPr>
                <w:rFonts w:ascii="Times New Roman" w:hAnsi="Times New Roman" w:cs="Times New Roman"/>
                <w:iCs/>
              </w:rPr>
              <w:t xml:space="preserve">лососевые рыбы, </w:t>
            </w:r>
            <w:r w:rsidRPr="009168C7">
              <w:rPr>
                <w:rFonts w:ascii="Times New Roman" w:hAnsi="Times New Roman" w:cs="Times New Roman"/>
              </w:rPr>
              <w:t>массовая доля сухих веществ</w:t>
            </w:r>
            <w:r w:rsidRPr="009168C7">
              <w:rPr>
                <w:rFonts w:ascii="Times New Roman" w:hAnsi="Times New Roman" w:cs="Times New Roman"/>
                <w:iCs/>
              </w:rPr>
              <w:t xml:space="preserve">, реологические свойства, рыбомучные изделия, </w:t>
            </w:r>
            <w:r w:rsidRPr="009168C7">
              <w:rPr>
                <w:rFonts w:ascii="Times New Roman" w:hAnsi="Times New Roman" w:cs="Times New Roman"/>
              </w:rPr>
              <w:t>предельное напряжение сдв</w:t>
            </w:r>
            <w:r w:rsidRPr="009168C7">
              <w:rPr>
                <w:rFonts w:ascii="Times New Roman" w:hAnsi="Times New Roman" w:cs="Times New Roman"/>
              </w:rPr>
              <w:t>и</w:t>
            </w:r>
            <w:r w:rsidRPr="009168C7">
              <w:rPr>
                <w:rFonts w:ascii="Times New Roman" w:hAnsi="Times New Roman" w:cs="Times New Roman"/>
              </w:rPr>
              <w:t>га, те</w:t>
            </w:r>
            <w:r w:rsidRPr="009168C7">
              <w:rPr>
                <w:rFonts w:ascii="Times New Roman" w:hAnsi="Times New Roman" w:cs="Times New Roman"/>
              </w:rPr>
              <w:t>х</w:t>
            </w:r>
            <w:r w:rsidRPr="009168C7">
              <w:rPr>
                <w:rFonts w:ascii="Times New Roman" w:hAnsi="Times New Roman" w:cs="Times New Roman"/>
              </w:rPr>
              <w:t xml:space="preserve">нологическая схема, фукусовые водоросли </w:t>
            </w:r>
            <w:proofErr w:type="spellStart"/>
            <w:r w:rsidRPr="009168C7">
              <w:rPr>
                <w:rFonts w:ascii="Times New Roman" w:hAnsi="Times New Roman" w:cs="Times New Roman"/>
                <w:i/>
                <w:iCs/>
                <w:lang w:val="en-US"/>
              </w:rPr>
              <w:t>Fucus</w:t>
            </w:r>
            <w:proofErr w:type="spellEnd"/>
            <w:r w:rsidRPr="00916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168C7">
              <w:rPr>
                <w:rFonts w:ascii="Times New Roman" w:hAnsi="Times New Roman" w:cs="Times New Roman"/>
                <w:i/>
                <w:iCs/>
                <w:lang w:val="en-US"/>
              </w:rPr>
              <w:t>distichus</w:t>
            </w:r>
            <w:proofErr w:type="spellEnd"/>
            <w:r w:rsidRPr="009168C7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168C7" w:rsidRPr="009168C7" w:rsidRDefault="009168C7" w:rsidP="009168C7">
            <w:pPr>
              <w:rPr>
                <w:rFonts w:ascii="Times New Roman" w:hAnsi="Times New Roman" w:cs="Times New Roman"/>
              </w:rPr>
            </w:pPr>
          </w:p>
        </w:tc>
      </w:tr>
      <w:tr w:rsidR="009168C7" w:rsidRPr="009168C7" w:rsidTr="009168C7">
        <w:trPr>
          <w:jc w:val="center"/>
        </w:trPr>
        <w:tc>
          <w:tcPr>
            <w:tcW w:w="9571" w:type="dxa"/>
          </w:tcPr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УДК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591.9:598.2(571.66)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168C7">
              <w:rPr>
                <w:rFonts w:ascii="Times New Roman" w:hAnsi="Times New Roman" w:cs="Times New Roman"/>
              </w:rPr>
              <w:t xml:space="preserve">                                            </w:t>
            </w:r>
            <w:proofErr w:type="spellStart"/>
            <w:r w:rsidRPr="009168C7">
              <w:rPr>
                <w:rFonts w:ascii="Times New Roman" w:hAnsi="Times New Roman" w:cs="Times New Roman"/>
              </w:rPr>
              <w:t>DOI</w:t>
            </w:r>
            <w:proofErr w:type="spellEnd"/>
            <w:r w:rsidRPr="009168C7">
              <w:rPr>
                <w:rFonts w:ascii="Times New Roman" w:hAnsi="Times New Roman" w:cs="Times New Roman"/>
              </w:rPr>
              <w:t>: 10.17217/2079-0333-2022-61-16-39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8C7">
              <w:rPr>
                <w:rFonts w:ascii="Times New Roman" w:hAnsi="Times New Roman" w:cs="Times New Roman"/>
                <w:b/>
              </w:rPr>
              <w:t xml:space="preserve">ФАУНА И НАСЕЛЕНИЕ МОРСКИХ ПТИЦ У ПОБЕРЕЖЬЯ </w:t>
            </w:r>
            <w:r w:rsidRPr="009168C7">
              <w:rPr>
                <w:rFonts w:ascii="Times New Roman" w:hAnsi="Times New Roman" w:cs="Times New Roman"/>
                <w:b/>
              </w:rPr>
              <w:br/>
              <w:t>ЮЖНО-КАМЧАТСКОГО ПРИРОДНОГО ПАРКА В ЛЕТНИЙ СЕЗОН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Артюхин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Ю.Б.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bookmarkStart w:id="0" w:name="_Hlk104377026"/>
            <w:r w:rsidRPr="009168C7">
              <w:rPr>
                <w:rFonts w:ascii="Times New Roman" w:hAnsi="Times New Roman" w:cs="Times New Roman"/>
              </w:rPr>
              <w:t xml:space="preserve">Камчатский филиал Тихоокеанского института географии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ДВО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РАН, </w:t>
            </w:r>
            <w:proofErr w:type="gramStart"/>
            <w:r w:rsidRPr="009168C7">
              <w:rPr>
                <w:rFonts w:ascii="Times New Roman" w:hAnsi="Times New Roman" w:cs="Times New Roman"/>
              </w:rPr>
              <w:t>г</w:t>
            </w:r>
            <w:proofErr w:type="gramEnd"/>
            <w:r w:rsidRPr="009168C7">
              <w:rPr>
                <w:rFonts w:ascii="Times New Roman" w:hAnsi="Times New Roman" w:cs="Times New Roman"/>
              </w:rPr>
              <w:t>. Петропавловск-Камчатский, проспект Рыбаков, 19 а.</w:t>
            </w:r>
            <w:bookmarkEnd w:id="0"/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Исследования проводили в июне – июле 2016 и 2021 гг. на юго-восточном побережье Камчатки. </w:t>
            </w:r>
            <w:proofErr w:type="gramStart"/>
            <w:r w:rsidRPr="009168C7">
              <w:rPr>
                <w:rFonts w:ascii="Times New Roman" w:hAnsi="Times New Roman" w:cs="Times New Roman"/>
              </w:rPr>
              <w:t xml:space="preserve">С борта маломерного судна (катера) и на моторной лодке учитывали птиц на морских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трансектах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и на маршрутах вдоль береговой черты.</w:t>
            </w:r>
            <w:proofErr w:type="gramEnd"/>
            <w:r w:rsidRPr="009168C7">
              <w:rPr>
                <w:rFonts w:ascii="Times New Roman" w:hAnsi="Times New Roman" w:cs="Times New Roman"/>
              </w:rPr>
              <w:t xml:space="preserve"> Зарегистрировано 32 вида птиц, в основном чистиковых (34,4% видового состава),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чайковых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(15,6%) и утиных (12,5%). Плотность распределения птиц на о</w:t>
            </w:r>
            <w:r w:rsidRPr="009168C7">
              <w:rPr>
                <w:rFonts w:ascii="Times New Roman" w:hAnsi="Times New Roman" w:cs="Times New Roman"/>
              </w:rPr>
              <w:t>б</w:t>
            </w:r>
            <w:r w:rsidRPr="009168C7">
              <w:rPr>
                <w:rFonts w:ascii="Times New Roman" w:hAnsi="Times New Roman" w:cs="Times New Roman"/>
              </w:rPr>
              <w:t>следованной акватории составляла в среднем 25,5 особей/</w:t>
            </w:r>
            <w:proofErr w:type="spellStart"/>
            <w:r w:rsidRPr="009168C7">
              <w:rPr>
                <w:rFonts w:ascii="Times New Roman" w:hAnsi="Times New Roman" w:cs="Times New Roman"/>
              </w:rPr>
              <w:t>км</w:t>
            </w:r>
            <w:proofErr w:type="gramStart"/>
            <w:r w:rsidRPr="009168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  <w:proofErr w:type="gramEnd"/>
            <w:r w:rsidRPr="009168C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168C7">
              <w:rPr>
                <w:rFonts w:ascii="Times New Roman" w:hAnsi="Times New Roman" w:cs="Times New Roman"/>
              </w:rPr>
              <w:t xml:space="preserve">По численности на удаленных от суши учетных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трансектах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доминирующее положение занимали в равных долях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трубконосые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и чистиковые (по 42,9%), а на маршрутах близко к берегу –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чайковые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(61,5%) и чистиковые (23,0%).</w:t>
            </w:r>
            <w:proofErr w:type="gramEnd"/>
            <w:r w:rsidRPr="009168C7">
              <w:rPr>
                <w:rFonts w:ascii="Times New Roman" w:hAnsi="Times New Roman" w:cs="Times New Roman"/>
              </w:rPr>
              <w:t xml:space="preserve"> Общая летняя численность птиц в границах акватории площадью 1,3 тыс.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км</w:t>
            </w:r>
            <w:proofErr w:type="gramStart"/>
            <w:r w:rsidRPr="009168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  <w:proofErr w:type="gramEnd"/>
            <w:r w:rsidRPr="009168C7">
              <w:rPr>
                <w:rFonts w:ascii="Times New Roman" w:hAnsi="Times New Roman" w:cs="Times New Roman"/>
              </w:rPr>
              <w:t xml:space="preserve"> оценивается вел</w:t>
            </w:r>
            <w:r w:rsidRPr="009168C7">
              <w:rPr>
                <w:rFonts w:ascii="Times New Roman" w:hAnsi="Times New Roman" w:cs="Times New Roman"/>
              </w:rPr>
              <w:t>и</w:t>
            </w:r>
            <w:r w:rsidRPr="009168C7">
              <w:rPr>
                <w:rFonts w:ascii="Times New Roman" w:hAnsi="Times New Roman" w:cs="Times New Roman"/>
              </w:rPr>
              <w:t>чиной порядка 40 тыс. особей. Основу населения (около 60%) составляют 8 гнездящихся в этом районе видов, чи</w:t>
            </w:r>
            <w:r w:rsidRPr="009168C7">
              <w:rPr>
                <w:rFonts w:ascii="Times New Roman" w:hAnsi="Times New Roman" w:cs="Times New Roman"/>
              </w:rPr>
              <w:t>с</w:t>
            </w:r>
            <w:r w:rsidRPr="009168C7">
              <w:rPr>
                <w:rFonts w:ascii="Times New Roman" w:hAnsi="Times New Roman" w:cs="Times New Roman"/>
              </w:rPr>
              <w:t xml:space="preserve">ленность каждого из которых более 1 тыс. особей (в основном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топорки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и кайры). Остальные 40% приходятся на виды, которые прибывают сюда из других регионов (мигрирующие из Южного полушария тонкоклювые буревестники, глупыши из колоний с сопредельных террит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 xml:space="preserve">рий и плавунчики на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послегнездовых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кочевках).</w:t>
            </w:r>
          </w:p>
          <w:p w:rsidR="009168C7" w:rsidRPr="009168C7" w:rsidRDefault="009168C7" w:rsidP="009168C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8C7">
              <w:rPr>
                <w:rFonts w:ascii="Times New Roman" w:hAnsi="Times New Roman" w:cs="Times New Roman"/>
                <w:b/>
              </w:rPr>
              <w:t>Ключевые слова:</w:t>
            </w:r>
            <w:r w:rsidRPr="009168C7">
              <w:rPr>
                <w:rFonts w:ascii="Times New Roman" w:hAnsi="Times New Roman" w:cs="Times New Roman"/>
              </w:rPr>
              <w:t xml:space="preserve"> водоплавающие птицы, морские птицы, население птиц, распределение, суд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>вые учеты, численность, Южно-Камчатский природный парк.</w:t>
            </w:r>
            <w:proofErr w:type="gramEnd"/>
          </w:p>
          <w:p w:rsidR="009168C7" w:rsidRPr="009168C7" w:rsidRDefault="009168C7" w:rsidP="009168C7">
            <w:pPr>
              <w:rPr>
                <w:rFonts w:ascii="Times New Roman" w:hAnsi="Times New Roman" w:cs="Times New Roman"/>
              </w:rPr>
            </w:pPr>
          </w:p>
        </w:tc>
      </w:tr>
      <w:tr w:rsidR="009168C7" w:rsidRPr="009168C7" w:rsidTr="009168C7">
        <w:trPr>
          <w:jc w:val="center"/>
        </w:trPr>
        <w:tc>
          <w:tcPr>
            <w:tcW w:w="9571" w:type="dxa"/>
          </w:tcPr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lastRenderedPageBreak/>
              <w:t>УДК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592/595(571.66)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168C7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proofErr w:type="spellStart"/>
            <w:r w:rsidRPr="009168C7">
              <w:rPr>
                <w:rFonts w:ascii="Times New Roman" w:hAnsi="Times New Roman" w:cs="Times New Roman"/>
              </w:rPr>
              <w:t>DOI</w:t>
            </w:r>
            <w:proofErr w:type="spellEnd"/>
            <w:r w:rsidRPr="009168C7">
              <w:rPr>
                <w:rFonts w:ascii="Times New Roman" w:hAnsi="Times New Roman" w:cs="Times New Roman"/>
              </w:rPr>
              <w:t>: 10.17217/2079-0333-2022-61-40-64</w:t>
            </w: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8C7">
              <w:rPr>
                <w:rFonts w:ascii="Times New Roman" w:hAnsi="Times New Roman" w:cs="Times New Roman"/>
                <w:b/>
              </w:rPr>
              <w:t xml:space="preserve">ПЕРВЫЙ ОПЫТ ОЦЕНКИ НА КАМЧАТКЕ ТАКСОНОМИЧЕСКОГО </w:t>
            </w:r>
            <w:r w:rsidRPr="009168C7">
              <w:rPr>
                <w:rFonts w:ascii="Times New Roman" w:hAnsi="Times New Roman" w:cs="Times New Roman"/>
                <w:b/>
              </w:rPr>
              <w:br/>
              <w:t xml:space="preserve">РАЗНООБРАЗИЯ, ОБИЛИЯ И БИОМАССЫ  БЕСПОЗВОНОЧНЫХ ЖИВОТНЫХ </w:t>
            </w:r>
            <w:r w:rsidRPr="009168C7">
              <w:rPr>
                <w:rFonts w:ascii="Times New Roman" w:hAnsi="Times New Roman" w:cs="Times New Roman"/>
                <w:b/>
              </w:rPr>
              <w:br/>
              <w:t xml:space="preserve">(ПАУКОВ И НАСЕКОМЫХ) В ФОНОВЫХ БИОТОПАХ РЕЧНОЙ ПОЙМЫ </w:t>
            </w:r>
            <w:r w:rsidRPr="009168C7">
              <w:rPr>
                <w:rFonts w:ascii="Times New Roman" w:hAnsi="Times New Roman" w:cs="Times New Roman"/>
                <w:b/>
              </w:rPr>
              <w:br/>
              <w:t xml:space="preserve">(НА ПРИМЕРЕ НИЗОВИЙ РЕКИ </w:t>
            </w:r>
            <w:proofErr w:type="spellStart"/>
            <w:r w:rsidRPr="009168C7">
              <w:rPr>
                <w:rFonts w:ascii="Times New Roman" w:hAnsi="Times New Roman" w:cs="Times New Roman"/>
                <w:b/>
              </w:rPr>
              <w:t>АВАЧИ</w:t>
            </w:r>
            <w:proofErr w:type="spellEnd"/>
            <w:r w:rsidRPr="009168C7">
              <w:rPr>
                <w:rFonts w:ascii="Times New Roman" w:hAnsi="Times New Roman" w:cs="Times New Roman"/>
                <w:b/>
              </w:rPr>
              <w:t>)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Лобков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Е.Г.</w:t>
            </w:r>
            <w:r w:rsidRPr="009168C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Лобкова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Л.Е.</w:t>
            </w:r>
            <w:r w:rsidRPr="009168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  <w:vertAlign w:val="superscript"/>
              </w:rPr>
              <w:t>1</w:t>
            </w:r>
            <w:r w:rsidRPr="009168C7">
              <w:rPr>
                <w:rFonts w:ascii="Times New Roman" w:hAnsi="Times New Roman" w:cs="Times New Roman"/>
              </w:rPr>
              <w:t xml:space="preserve"> Камчатский государственный технический университет, </w:t>
            </w:r>
            <w:proofErr w:type="gramStart"/>
            <w:r w:rsidRPr="009168C7">
              <w:rPr>
                <w:rFonts w:ascii="Times New Roman" w:hAnsi="Times New Roman" w:cs="Times New Roman"/>
              </w:rPr>
              <w:t>г</w:t>
            </w:r>
            <w:proofErr w:type="gramEnd"/>
            <w:r w:rsidRPr="009168C7">
              <w:rPr>
                <w:rFonts w:ascii="Times New Roman" w:hAnsi="Times New Roman" w:cs="Times New Roman"/>
              </w:rPr>
              <w:t>. Петропавловск-Камчатский, ул. Ключевская, 35.</w:t>
            </w: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68C7">
              <w:rPr>
                <w:rFonts w:ascii="Times New Roman" w:hAnsi="Times New Roman" w:cs="Times New Roman"/>
              </w:rPr>
              <w:t> </w:t>
            </w:r>
            <w:proofErr w:type="spellStart"/>
            <w:r w:rsidRPr="009168C7">
              <w:rPr>
                <w:rFonts w:ascii="Times New Roman" w:hAnsi="Times New Roman" w:cs="Times New Roman"/>
              </w:rPr>
              <w:t>Кроноцкий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государственный природный биосферный заповедник, </w:t>
            </w:r>
            <w:proofErr w:type="gramStart"/>
            <w:r w:rsidRPr="009168C7">
              <w:rPr>
                <w:rFonts w:ascii="Times New Roman" w:hAnsi="Times New Roman" w:cs="Times New Roman"/>
              </w:rPr>
              <w:t>г</w:t>
            </w:r>
            <w:proofErr w:type="gramEnd"/>
            <w:r w:rsidRPr="009168C7">
              <w:rPr>
                <w:rFonts w:ascii="Times New Roman" w:hAnsi="Times New Roman" w:cs="Times New Roman"/>
              </w:rPr>
              <w:t xml:space="preserve">. Елизово, Камчатский край, ул.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Рябикова</w:t>
            </w:r>
            <w:proofErr w:type="spellEnd"/>
            <w:r w:rsidRPr="009168C7">
              <w:rPr>
                <w:rFonts w:ascii="Times New Roman" w:hAnsi="Times New Roman" w:cs="Times New Roman"/>
              </w:rPr>
              <w:t>, 48.</w:t>
            </w: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9168C7">
              <w:rPr>
                <w:rFonts w:ascii="Times New Roman" w:hAnsi="Times New Roman" w:cs="Times New Roman"/>
              </w:rPr>
              <w:t>Определены параметры сезонной динамики таксономического разнообразия, обилия (численн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>сти) и биомассы беспозвоночных животных (насекомых и пауков) на 10 разных по облику про</w:t>
            </w:r>
            <w:r w:rsidRPr="009168C7">
              <w:rPr>
                <w:rFonts w:ascii="Times New Roman" w:hAnsi="Times New Roman" w:cs="Times New Roman"/>
              </w:rPr>
              <w:t>б</w:t>
            </w:r>
            <w:r w:rsidRPr="009168C7">
              <w:rPr>
                <w:rFonts w:ascii="Times New Roman" w:hAnsi="Times New Roman" w:cs="Times New Roman"/>
              </w:rPr>
              <w:t>ных пл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 xml:space="preserve">щадях в фоновых наземных биотопах поймы в междуречье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Авачи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Пиначевской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в 2018 и 2020 гг. Максимальные показатели обилия беспозвоночных (от 200 экземпляров до 1 тысячи и б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>лее на один укос энтомологическим сачком) в разных биотопах приходились на разное</w:t>
            </w:r>
            <w:proofErr w:type="gramEnd"/>
            <w:r w:rsidRPr="009168C7">
              <w:rPr>
                <w:rFonts w:ascii="Times New Roman" w:hAnsi="Times New Roman" w:cs="Times New Roman"/>
              </w:rPr>
              <w:t xml:space="preserve"> время, но все укладыв</w:t>
            </w:r>
            <w:r w:rsidRPr="009168C7">
              <w:rPr>
                <w:rFonts w:ascii="Times New Roman" w:hAnsi="Times New Roman" w:cs="Times New Roman"/>
              </w:rPr>
              <w:t>а</w:t>
            </w:r>
            <w:r w:rsidRPr="009168C7">
              <w:rPr>
                <w:rFonts w:ascii="Times New Roman" w:hAnsi="Times New Roman" w:cs="Times New Roman"/>
              </w:rPr>
              <w:t>ются в период с середины июня по середину октября, обычно с середины июля по август. В  разных биотопах абсолютные значения разные. Биомасса беспозвоночных животных обычно непрерывно растет от мая к июлю, достигает максимума в конце июля или в первой пол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>вине августа и затем снижается до минимума к ноябрю с началом заморозков и перед первым сн</w:t>
            </w:r>
            <w:r w:rsidRPr="009168C7">
              <w:rPr>
                <w:rFonts w:ascii="Times New Roman" w:hAnsi="Times New Roman" w:cs="Times New Roman"/>
              </w:rPr>
              <w:t>е</w:t>
            </w:r>
            <w:r w:rsidRPr="009168C7">
              <w:rPr>
                <w:rFonts w:ascii="Times New Roman" w:hAnsi="Times New Roman" w:cs="Times New Roman"/>
              </w:rPr>
              <w:t xml:space="preserve">гопадом. Максимальные показатели биомассы беспозвоночных в расчете на 1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м</w:t>
            </w:r>
            <w:r w:rsidRPr="009168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(в период пик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>вого значения по каждому биотопу) составили в 2018 г. 0,033 – 0,097 г/</w:t>
            </w:r>
            <w:proofErr w:type="spellStart"/>
            <w:r w:rsidRPr="009168C7">
              <w:rPr>
                <w:rFonts w:ascii="Times New Roman" w:hAnsi="Times New Roman" w:cs="Times New Roman"/>
              </w:rPr>
              <w:t>м</w:t>
            </w:r>
            <w:r w:rsidRPr="009168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(0,998 г – 2,9 г на один укос), среднее значение </w:t>
            </w:r>
            <w:r w:rsidRPr="009168C7">
              <w:rPr>
                <w:rFonts w:ascii="Times New Roman" w:hAnsi="Times New Roman" w:cs="Times New Roman"/>
                <w:spacing w:val="-2"/>
              </w:rPr>
              <w:t>(</w:t>
            </w:r>
            <w:r w:rsidRPr="009168C7">
              <w:rPr>
                <w:rFonts w:ascii="Times New Roman" w:hAnsi="Times New Roman" w:cs="Times New Roman"/>
                <w:i/>
                <w:spacing w:val="-2"/>
                <w:lang w:val="en-US"/>
              </w:rPr>
              <w:t>n</w:t>
            </w:r>
            <w:r w:rsidRPr="009168C7">
              <w:rPr>
                <w:rFonts w:ascii="Times New Roman" w:hAnsi="Times New Roman" w:cs="Times New Roman"/>
                <w:spacing w:val="-2"/>
              </w:rPr>
              <w:t xml:space="preserve"> = 10) 0,049 г/м</w:t>
            </w:r>
            <w:r w:rsidRPr="009168C7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9168C7">
              <w:rPr>
                <w:rFonts w:ascii="Times New Roman" w:hAnsi="Times New Roman" w:cs="Times New Roman"/>
                <w:spacing w:val="-2"/>
              </w:rPr>
              <w:t>. В 2020 г. этот показатель оказался  меньше. Среднее зн</w:t>
            </w:r>
            <w:r w:rsidRPr="009168C7">
              <w:rPr>
                <w:rFonts w:ascii="Times New Roman" w:hAnsi="Times New Roman" w:cs="Times New Roman"/>
                <w:spacing w:val="-2"/>
              </w:rPr>
              <w:t>а</w:t>
            </w:r>
            <w:r w:rsidRPr="009168C7">
              <w:rPr>
                <w:rFonts w:ascii="Times New Roman" w:hAnsi="Times New Roman" w:cs="Times New Roman"/>
                <w:spacing w:val="-2"/>
              </w:rPr>
              <w:t>чение биомассы насек</w:t>
            </w:r>
            <w:r w:rsidRPr="009168C7">
              <w:rPr>
                <w:rFonts w:ascii="Times New Roman" w:hAnsi="Times New Roman" w:cs="Times New Roman"/>
                <w:spacing w:val="-2"/>
              </w:rPr>
              <w:t>о</w:t>
            </w:r>
            <w:r w:rsidRPr="009168C7">
              <w:rPr>
                <w:rFonts w:ascii="Times New Roman" w:hAnsi="Times New Roman" w:cs="Times New Roman"/>
                <w:spacing w:val="-2"/>
              </w:rPr>
              <w:t xml:space="preserve">мых за два сезона в расчете на условный 1 </w:t>
            </w:r>
            <w:proofErr w:type="spellStart"/>
            <w:r w:rsidRPr="009168C7">
              <w:rPr>
                <w:rFonts w:ascii="Times New Roman" w:hAnsi="Times New Roman" w:cs="Times New Roman"/>
                <w:spacing w:val="-2"/>
              </w:rPr>
              <w:t>м</w:t>
            </w:r>
            <w:r w:rsidRPr="009168C7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proofErr w:type="spellEnd"/>
            <w:r w:rsidRPr="009168C7">
              <w:rPr>
                <w:rFonts w:ascii="Times New Roman" w:hAnsi="Times New Roman" w:cs="Times New Roman"/>
                <w:spacing w:val="-2"/>
              </w:rPr>
              <w:t xml:space="preserve"> речной поймы на изученном нами участке составил порядка 0,029 г. Преобладают среди беспозвоночных насекомые, но и пауки занимают существе</w:t>
            </w:r>
            <w:r w:rsidRPr="009168C7">
              <w:rPr>
                <w:rFonts w:ascii="Times New Roman" w:hAnsi="Times New Roman" w:cs="Times New Roman"/>
                <w:spacing w:val="-2"/>
              </w:rPr>
              <w:t>н</w:t>
            </w:r>
            <w:r w:rsidRPr="009168C7">
              <w:rPr>
                <w:rFonts w:ascii="Times New Roman" w:hAnsi="Times New Roman" w:cs="Times New Roman"/>
                <w:spacing w:val="-2"/>
              </w:rPr>
              <w:t xml:space="preserve">ную долю: по результатам кошения в 2018 г., соответственно 18% по обилию (численности) и 38% по биомассе. </w:t>
            </w: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8C7">
              <w:rPr>
                <w:rFonts w:ascii="Times New Roman" w:hAnsi="Times New Roman" w:cs="Times New Roman"/>
                <w:b/>
              </w:rPr>
              <w:t xml:space="preserve">Ключевые слова: </w:t>
            </w:r>
            <w:r w:rsidRPr="009168C7">
              <w:rPr>
                <w:rFonts w:ascii="Times New Roman" w:hAnsi="Times New Roman" w:cs="Times New Roman"/>
              </w:rPr>
              <w:t xml:space="preserve">беспозвоночные, биомасса, междуречье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Авачи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Пиначевской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, насекомые, пойма, обилие, пауки, численность. </w:t>
            </w:r>
            <w:proofErr w:type="gramEnd"/>
          </w:p>
          <w:p w:rsidR="009168C7" w:rsidRPr="009168C7" w:rsidRDefault="009168C7" w:rsidP="009168C7">
            <w:pPr>
              <w:rPr>
                <w:rFonts w:ascii="Times New Roman" w:hAnsi="Times New Roman" w:cs="Times New Roman"/>
              </w:rPr>
            </w:pPr>
          </w:p>
        </w:tc>
      </w:tr>
      <w:tr w:rsidR="009168C7" w:rsidRPr="009168C7" w:rsidTr="009168C7">
        <w:trPr>
          <w:jc w:val="center"/>
        </w:trPr>
        <w:tc>
          <w:tcPr>
            <w:tcW w:w="9571" w:type="dxa"/>
          </w:tcPr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УДК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631.41(571.66-25)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168C7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Pr="009168C7">
              <w:rPr>
                <w:rFonts w:ascii="Times New Roman" w:hAnsi="Times New Roman" w:cs="Times New Roman"/>
              </w:rPr>
              <w:t>DOI</w:t>
            </w:r>
            <w:proofErr w:type="spellEnd"/>
            <w:r w:rsidRPr="009168C7">
              <w:rPr>
                <w:rFonts w:ascii="Times New Roman" w:hAnsi="Times New Roman" w:cs="Times New Roman"/>
              </w:rPr>
              <w:t>: 10.17217/2079-0333-2022-61-65-81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8C7">
              <w:rPr>
                <w:rFonts w:ascii="Times New Roman" w:hAnsi="Times New Roman" w:cs="Times New Roman"/>
                <w:b/>
              </w:rPr>
              <w:t xml:space="preserve">ОЦЕНКА ЗАГРЯЗНЕНИЯ ТЯЖЕЛЫМИ МЕТАЛЛАМИ ПОЧВ </w:t>
            </w:r>
            <w:r w:rsidRPr="009168C7">
              <w:rPr>
                <w:rFonts w:ascii="Times New Roman" w:hAnsi="Times New Roman" w:cs="Times New Roman"/>
                <w:b/>
              </w:rPr>
              <w:br/>
              <w:t>ГОРОДА ПЕТРОПАВЛОВСКА-КАМЧАТСКОГО, КАМЧАТСКИЙ КРАЙ</w:t>
            </w: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Авдощенко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В.Г., Климова А.В.</w:t>
            </w: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9168C7">
              <w:rPr>
                <w:rFonts w:ascii="Times New Roman" w:hAnsi="Times New Roman" w:cs="Times New Roman"/>
              </w:rPr>
              <w:t>г</w:t>
            </w:r>
            <w:proofErr w:type="gramEnd"/>
            <w:r w:rsidRPr="009168C7">
              <w:rPr>
                <w:rFonts w:ascii="Times New Roman" w:hAnsi="Times New Roman" w:cs="Times New Roman"/>
              </w:rPr>
              <w:t>. Петропавловск-Камчатский,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8C7">
              <w:rPr>
                <w:rFonts w:ascii="Times New Roman" w:hAnsi="Times New Roman" w:cs="Times New Roman"/>
              </w:rPr>
              <w:t>Кл</w:t>
            </w:r>
            <w:r w:rsidRPr="009168C7">
              <w:rPr>
                <w:rFonts w:ascii="Times New Roman" w:hAnsi="Times New Roman" w:cs="Times New Roman"/>
              </w:rPr>
              <w:t>ю</w:t>
            </w:r>
            <w:r w:rsidRPr="009168C7">
              <w:rPr>
                <w:rFonts w:ascii="Times New Roman" w:hAnsi="Times New Roman" w:cs="Times New Roman"/>
              </w:rPr>
              <w:t>чевская, 35.</w:t>
            </w: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работе представлены результаты определения валового содержания цинка, меди и свинца в п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 xml:space="preserve">верхностном слое почв </w:t>
            </w:r>
            <w:proofErr w:type="gramStart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. Петропавловска-Камчатского, и на их основе дана оценка степени з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грязнения тяжелыми металлами почв отдельных районов города за период 2017–2020 гг. Выявл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но, что практически повсеместно содержание свинца в почвах соответствовало очень сильной или сильной степени загрязнения. Почвы по содержанию меди и цинка были отнесены к слаб</w:t>
            </w:r>
            <w:proofErr w:type="gramStart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о-</w:t>
            </w:r>
            <w:proofErr w:type="gramEnd"/>
            <w:r w:rsidRPr="009168C7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среднезагрязне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ным</w:t>
            </w:r>
            <w:proofErr w:type="spellEnd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. В 2017–2020 гг. происходило увеличение содержания меди и цинка в почвах города. Изменение содержания свинца за период 2017–2018 гг., напротив, выражено слабо, в 2020 г. установлено сниж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ние его содержания во всех районах исследования. Согласно комплексным показателям загрязнения, индексу нагрузки загрязнения (</w:t>
            </w:r>
            <w:proofErr w:type="spellStart"/>
            <w:r w:rsidRPr="009168C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PLI</w:t>
            </w:r>
            <w:proofErr w:type="spellEnd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) и интегрированному индексу з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 xml:space="preserve">грязнения </w:t>
            </w:r>
            <w:proofErr w:type="spellStart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Немерова</w:t>
            </w:r>
            <w:proofErr w:type="spellEnd"/>
            <w:r w:rsidRPr="009168C7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9168C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NPI</w:t>
            </w:r>
            <w:proofErr w:type="spellEnd"/>
            <w:r w:rsidRPr="009168C7">
              <w:rPr>
                <w:rFonts w:ascii="Times New Roman" w:hAnsi="Times New Roman" w:cs="Times New Roman"/>
                <w:shd w:val="clear" w:color="auto" w:fill="FFFFFF"/>
              </w:rPr>
              <w:t>), на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более загрязненные почвы были выявлены в районе «Госпиталь» (2017 г.), «Ботанический переулок» (2018 г.), «Стадион “Спартак”» (2020 г.). Для всех почв города характерна слабая степень потенциального экологического риска в результате загрязнения тяж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лыми металлами. Полученные данные могут быть использованы для мониторинга загрязнения т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9168C7">
              <w:rPr>
                <w:rFonts w:ascii="Times New Roman" w:hAnsi="Times New Roman" w:cs="Times New Roman"/>
                <w:shd w:val="clear" w:color="auto" w:fill="FFFFFF"/>
              </w:rPr>
              <w:t>желыми металлами почв урбанизированных территорий Камчатского края.</w:t>
            </w:r>
            <w:r w:rsidRPr="009168C7">
              <w:rPr>
                <w:rFonts w:ascii="Times New Roman" w:hAnsi="Times New Roman" w:cs="Times New Roman"/>
              </w:rPr>
              <w:t xml:space="preserve"> </w:t>
            </w: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  <w:b/>
              </w:rPr>
              <w:t>Ключевые слова:</w:t>
            </w:r>
            <w:r w:rsidRPr="009168C7">
              <w:rPr>
                <w:rFonts w:ascii="Times New Roman" w:hAnsi="Times New Roman" w:cs="Times New Roman"/>
              </w:rPr>
              <w:t xml:space="preserve"> загрязнение, Камчатский край, тяжелые металлы, урбанизированные почвы,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Cu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Zn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Pb</w:t>
            </w:r>
            <w:proofErr w:type="spellEnd"/>
            <w:r w:rsidRPr="009168C7">
              <w:rPr>
                <w:rFonts w:ascii="Times New Roman" w:hAnsi="Times New Roman" w:cs="Times New Roman"/>
              </w:rPr>
              <w:t>.</w:t>
            </w:r>
          </w:p>
          <w:p w:rsidR="009168C7" w:rsidRPr="009168C7" w:rsidRDefault="009168C7" w:rsidP="009168C7">
            <w:pPr>
              <w:rPr>
                <w:rFonts w:ascii="Times New Roman" w:hAnsi="Times New Roman" w:cs="Times New Roman"/>
              </w:rPr>
            </w:pPr>
          </w:p>
        </w:tc>
      </w:tr>
      <w:tr w:rsidR="009168C7" w:rsidRPr="009168C7" w:rsidTr="009168C7">
        <w:trPr>
          <w:jc w:val="center"/>
        </w:trPr>
        <w:tc>
          <w:tcPr>
            <w:tcW w:w="9571" w:type="dxa"/>
          </w:tcPr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lastRenderedPageBreak/>
              <w:t>УДК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</w:t>
            </w:r>
            <w:r w:rsidRPr="009168C7">
              <w:rPr>
                <w:rFonts w:ascii="Times New Roman" w:hAnsi="Times New Roman" w:cs="Times New Roman"/>
                <w:iCs/>
              </w:rPr>
              <w:t xml:space="preserve">631.4(571.66)                </w:t>
            </w:r>
            <w:r w:rsidR="00900C5D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9168C7">
              <w:rPr>
                <w:rFonts w:ascii="Times New Roman" w:hAnsi="Times New Roman" w:cs="Times New Roman"/>
                <w:iCs/>
              </w:rPr>
              <w:t xml:space="preserve">                                           </w:t>
            </w:r>
            <w:proofErr w:type="spellStart"/>
            <w:r w:rsidRPr="009168C7">
              <w:rPr>
                <w:rFonts w:ascii="Times New Roman" w:hAnsi="Times New Roman" w:cs="Times New Roman"/>
              </w:rPr>
              <w:t>DOI</w:t>
            </w:r>
            <w:proofErr w:type="spellEnd"/>
            <w:r w:rsidRPr="009168C7">
              <w:rPr>
                <w:rFonts w:ascii="Times New Roman" w:hAnsi="Times New Roman" w:cs="Times New Roman"/>
              </w:rPr>
              <w:t>: 10.17217/2079-0333-2022-61-82-92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8C7">
              <w:rPr>
                <w:rFonts w:ascii="Times New Roman" w:hAnsi="Times New Roman" w:cs="Times New Roman"/>
                <w:b/>
                <w:bCs/>
              </w:rPr>
              <w:t xml:space="preserve">ОСОБЕННОСТИ НЕКОТОРЫХ КАМЧАТСКИХ ПОЧВ </w:t>
            </w:r>
            <w:r w:rsidRPr="009168C7">
              <w:rPr>
                <w:rFonts w:ascii="Times New Roman" w:hAnsi="Times New Roman" w:cs="Times New Roman"/>
                <w:b/>
                <w:bCs/>
              </w:rPr>
              <w:br/>
              <w:t>И НЕОБХОДИМОСТЬ ИХ СОХРАНЕНИЯ</w:t>
            </w: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9168C7">
              <w:rPr>
                <w:rFonts w:ascii="Times New Roman" w:hAnsi="Times New Roman" w:cs="Times New Roman"/>
                <w:bCs/>
              </w:rPr>
              <w:t>Казаков Н.В.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</w:p>
          <w:p w:rsidR="009168C7" w:rsidRPr="009168C7" w:rsidRDefault="009168C7" w:rsidP="00900C5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Камчатский филиал Тихоокеанского института географии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ДВО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РАН, г. Петропавловск-Камчатский, </w:t>
            </w:r>
            <w:proofErr w:type="gramStart"/>
            <w:r w:rsidRPr="009168C7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9168C7">
              <w:rPr>
                <w:rFonts w:ascii="Times New Roman" w:hAnsi="Times New Roman" w:cs="Times New Roman"/>
              </w:rPr>
              <w:t>, 6.</w:t>
            </w: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168C7">
              <w:rPr>
                <w:rFonts w:ascii="Times New Roman" w:hAnsi="Times New Roman" w:cs="Times New Roman"/>
                <w:snapToGrid w:val="0"/>
              </w:rPr>
              <w:t>В настоящей статье приводятся характеристики четырех почв Камчатского полуострова, наиболее нуждающихся в охране. Для двух из них выделены эталонные участки, которые предлагаются для включения в Красную книгу почв России. Описана их морфология, приведены фотографии по</w:t>
            </w:r>
            <w:r w:rsidRPr="009168C7">
              <w:rPr>
                <w:rFonts w:ascii="Times New Roman" w:hAnsi="Times New Roman" w:cs="Times New Roman"/>
                <w:snapToGrid w:val="0"/>
              </w:rPr>
              <w:t>ч</w:t>
            </w:r>
            <w:r w:rsidRPr="009168C7">
              <w:rPr>
                <w:rFonts w:ascii="Times New Roman" w:hAnsi="Times New Roman" w:cs="Times New Roman"/>
                <w:snapToGrid w:val="0"/>
              </w:rPr>
              <w:t xml:space="preserve">венных профилей, картосхемы их расположения. Один из участков характеризует зональную для региона охристую типичную почву, другой – редкую почву на </w:t>
            </w:r>
            <w:proofErr w:type="spellStart"/>
            <w:r w:rsidRPr="009168C7">
              <w:rPr>
                <w:rFonts w:ascii="Times New Roman" w:hAnsi="Times New Roman" w:cs="Times New Roman"/>
                <w:snapToGrid w:val="0"/>
              </w:rPr>
              <w:t>диатомитовых</w:t>
            </w:r>
            <w:proofErr w:type="spellEnd"/>
            <w:r w:rsidRPr="009168C7">
              <w:rPr>
                <w:rFonts w:ascii="Times New Roman" w:hAnsi="Times New Roman" w:cs="Times New Roman"/>
                <w:snapToGrid w:val="0"/>
              </w:rPr>
              <w:t xml:space="preserve"> отложениях. В кач</w:t>
            </w:r>
            <w:r w:rsidRPr="009168C7">
              <w:rPr>
                <w:rFonts w:ascii="Times New Roman" w:hAnsi="Times New Roman" w:cs="Times New Roman"/>
                <w:snapToGrid w:val="0"/>
              </w:rPr>
              <w:t>е</w:t>
            </w:r>
            <w:r w:rsidRPr="009168C7">
              <w:rPr>
                <w:rFonts w:ascii="Times New Roman" w:hAnsi="Times New Roman" w:cs="Times New Roman"/>
                <w:snapToGrid w:val="0"/>
              </w:rPr>
              <w:t xml:space="preserve">стве эталона первой почвы предложен участок, расположенный в районе пос. Сосновка, </w:t>
            </w:r>
            <w:proofErr w:type="spellStart"/>
            <w:r w:rsidRPr="009168C7">
              <w:rPr>
                <w:rFonts w:ascii="Times New Roman" w:hAnsi="Times New Roman" w:cs="Times New Roman"/>
                <w:snapToGrid w:val="0"/>
              </w:rPr>
              <w:t>Елизо</w:t>
            </w:r>
            <w:r w:rsidRPr="009168C7">
              <w:rPr>
                <w:rFonts w:ascii="Times New Roman" w:hAnsi="Times New Roman" w:cs="Times New Roman"/>
                <w:snapToGrid w:val="0"/>
              </w:rPr>
              <w:t>в</w:t>
            </w:r>
            <w:r w:rsidRPr="009168C7">
              <w:rPr>
                <w:rFonts w:ascii="Times New Roman" w:hAnsi="Times New Roman" w:cs="Times New Roman"/>
                <w:snapToGrid w:val="0"/>
              </w:rPr>
              <w:t>ского</w:t>
            </w:r>
            <w:proofErr w:type="spellEnd"/>
            <w:r w:rsidRPr="009168C7">
              <w:rPr>
                <w:rFonts w:ascii="Times New Roman" w:hAnsi="Times New Roman" w:cs="Times New Roman"/>
                <w:snapToGrid w:val="0"/>
              </w:rPr>
              <w:t xml:space="preserve"> района, послуживший в свое время основой для наиболее полного ее описания. Эталоном второй почвы является небольшое по площади понижение в рельефе, расположенное у южной оконечности Среди</w:t>
            </w:r>
            <w:r w:rsidRPr="009168C7">
              <w:rPr>
                <w:rFonts w:ascii="Times New Roman" w:hAnsi="Times New Roman" w:cs="Times New Roman"/>
                <w:snapToGrid w:val="0"/>
              </w:rPr>
              <w:t>н</w:t>
            </w:r>
            <w:r w:rsidRPr="009168C7">
              <w:rPr>
                <w:rFonts w:ascii="Times New Roman" w:hAnsi="Times New Roman" w:cs="Times New Roman"/>
                <w:snapToGrid w:val="0"/>
              </w:rPr>
              <w:t>ного хребта в долине реки Плотникова, представляющее собой единственное местонахождение этой почвы на полуострове. Каждому предлагаемому для охраны участку рек</w:t>
            </w:r>
            <w:r w:rsidRPr="009168C7">
              <w:rPr>
                <w:rFonts w:ascii="Times New Roman" w:hAnsi="Times New Roman" w:cs="Times New Roman"/>
                <w:snapToGrid w:val="0"/>
              </w:rPr>
              <w:t>о</w:t>
            </w:r>
            <w:r w:rsidRPr="009168C7">
              <w:rPr>
                <w:rFonts w:ascii="Times New Roman" w:hAnsi="Times New Roman" w:cs="Times New Roman"/>
                <w:snapToGrid w:val="0"/>
              </w:rPr>
              <w:t>мендуется придать охра</w:t>
            </w:r>
            <w:r w:rsidRPr="009168C7">
              <w:rPr>
                <w:rFonts w:ascii="Times New Roman" w:hAnsi="Times New Roman" w:cs="Times New Roman"/>
                <w:snapToGrid w:val="0"/>
              </w:rPr>
              <w:t>н</w:t>
            </w:r>
            <w:r w:rsidRPr="009168C7">
              <w:rPr>
                <w:rFonts w:ascii="Times New Roman" w:hAnsi="Times New Roman" w:cs="Times New Roman"/>
                <w:snapToGrid w:val="0"/>
              </w:rPr>
              <w:t>ный статус «Памятник природы» регионального значения.</w:t>
            </w: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168C7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Ключевые слова: </w:t>
            </w:r>
            <w:r w:rsidRPr="009168C7">
              <w:rPr>
                <w:rFonts w:ascii="Times New Roman" w:hAnsi="Times New Roman" w:cs="Times New Roman"/>
                <w:snapToGrid w:val="0"/>
              </w:rPr>
              <w:t xml:space="preserve">Камчатка, красная книга почв, охристая типичная почва, почва на </w:t>
            </w:r>
            <w:proofErr w:type="spellStart"/>
            <w:r w:rsidRPr="009168C7">
              <w:rPr>
                <w:rFonts w:ascii="Times New Roman" w:hAnsi="Times New Roman" w:cs="Times New Roman"/>
                <w:snapToGrid w:val="0"/>
              </w:rPr>
              <w:t>диатомит</w:t>
            </w:r>
            <w:r w:rsidRPr="009168C7">
              <w:rPr>
                <w:rFonts w:ascii="Times New Roman" w:hAnsi="Times New Roman" w:cs="Times New Roman"/>
                <w:snapToGrid w:val="0"/>
              </w:rPr>
              <w:t>о</w:t>
            </w:r>
            <w:r w:rsidRPr="009168C7">
              <w:rPr>
                <w:rFonts w:ascii="Times New Roman" w:hAnsi="Times New Roman" w:cs="Times New Roman"/>
                <w:snapToGrid w:val="0"/>
              </w:rPr>
              <w:t>вых</w:t>
            </w:r>
            <w:proofErr w:type="spellEnd"/>
            <w:r w:rsidRPr="009168C7">
              <w:rPr>
                <w:rFonts w:ascii="Times New Roman" w:hAnsi="Times New Roman" w:cs="Times New Roman"/>
                <w:snapToGrid w:val="0"/>
              </w:rPr>
              <w:t xml:space="preserve"> отложениях.</w:t>
            </w:r>
          </w:p>
          <w:p w:rsidR="009168C7" w:rsidRPr="009168C7" w:rsidRDefault="009168C7" w:rsidP="009168C7">
            <w:pPr>
              <w:rPr>
                <w:rFonts w:ascii="Times New Roman" w:hAnsi="Times New Roman" w:cs="Times New Roman"/>
              </w:rPr>
            </w:pPr>
          </w:p>
        </w:tc>
      </w:tr>
      <w:tr w:rsidR="009168C7" w:rsidRPr="009168C7" w:rsidTr="009168C7">
        <w:trPr>
          <w:jc w:val="center"/>
        </w:trPr>
        <w:tc>
          <w:tcPr>
            <w:tcW w:w="9571" w:type="dxa"/>
          </w:tcPr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УДК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622.271.461(571.17)        </w:t>
            </w:r>
            <w:r w:rsidR="00900C5D">
              <w:rPr>
                <w:rFonts w:ascii="Times New Roman" w:hAnsi="Times New Roman" w:cs="Times New Roman"/>
              </w:rPr>
              <w:t xml:space="preserve">          </w:t>
            </w:r>
            <w:r w:rsidRPr="009168C7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r w:rsidRPr="009168C7">
              <w:rPr>
                <w:rFonts w:ascii="Times New Roman" w:hAnsi="Times New Roman" w:cs="Times New Roman"/>
              </w:rPr>
              <w:t>DOI</w:t>
            </w:r>
            <w:proofErr w:type="spellEnd"/>
            <w:r w:rsidRPr="009168C7">
              <w:rPr>
                <w:rFonts w:ascii="Times New Roman" w:hAnsi="Times New Roman" w:cs="Times New Roman"/>
              </w:rPr>
              <w:t>: 10.17217/2079-0333-2022-61-93-104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8C7">
              <w:rPr>
                <w:rFonts w:ascii="Times New Roman" w:hAnsi="Times New Roman" w:cs="Times New Roman"/>
                <w:b/>
              </w:rPr>
              <w:t xml:space="preserve">АГРОХИМИЧЕСКИЕ И МИКРОБИОЛОГИЧЕСКИЕ СВОЙСТВА ПОЧВ ПОРОДНОГО ОТВАЛА </w:t>
            </w:r>
            <w:proofErr w:type="spellStart"/>
            <w:r w:rsidRPr="009168C7">
              <w:rPr>
                <w:rFonts w:ascii="Times New Roman" w:hAnsi="Times New Roman" w:cs="Times New Roman"/>
                <w:b/>
              </w:rPr>
              <w:t>БАРЗАССКОЙ</w:t>
            </w:r>
            <w:proofErr w:type="spellEnd"/>
            <w:r w:rsidRPr="009168C7">
              <w:rPr>
                <w:rFonts w:ascii="Times New Roman" w:hAnsi="Times New Roman" w:cs="Times New Roman"/>
                <w:b/>
              </w:rPr>
              <w:t xml:space="preserve"> ОБОГАТИТЕЛЬНОЙ ФАБРИКИ</w:t>
            </w:r>
            <w:r w:rsidRPr="009168C7">
              <w:rPr>
                <w:rStyle w:val="a6"/>
                <w:rFonts w:ascii="Times New Roman" w:hAnsi="Times New Roman" w:cs="Times New Roman"/>
                <w:b/>
              </w:rPr>
              <w:footnoteReference w:customMarkFollows="1" w:id="1"/>
              <w:t>*</w:t>
            </w:r>
          </w:p>
          <w:p w:rsidR="009168C7" w:rsidRPr="009168C7" w:rsidRDefault="009168C7" w:rsidP="009168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Серазетдинова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Ю.Р.,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Дышлюк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Л.С.,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Фотина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Н.В., Осинцева М.А.,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Голубцова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Ю.В.</w:t>
            </w: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</w:rPr>
              <w:t xml:space="preserve">Кемеровский государственный университет, г. Кемерово, ул. </w:t>
            </w:r>
            <w:proofErr w:type="gramStart"/>
            <w:r w:rsidRPr="009168C7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9168C7">
              <w:rPr>
                <w:rFonts w:ascii="Times New Roman" w:hAnsi="Times New Roman" w:cs="Times New Roman"/>
              </w:rPr>
              <w:t>, 6.</w:t>
            </w: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8C7">
              <w:rPr>
                <w:rFonts w:ascii="Times New Roman" w:hAnsi="Times New Roman" w:cs="Times New Roman"/>
              </w:rPr>
              <w:t>Барзасский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район Кемеровской области слабо освоен промышленностью, однако крупные площ</w:t>
            </w:r>
            <w:r w:rsidRPr="009168C7">
              <w:rPr>
                <w:rFonts w:ascii="Times New Roman" w:hAnsi="Times New Roman" w:cs="Times New Roman"/>
              </w:rPr>
              <w:t>а</w:t>
            </w:r>
            <w:r w:rsidRPr="009168C7">
              <w:rPr>
                <w:rFonts w:ascii="Times New Roman" w:hAnsi="Times New Roman" w:cs="Times New Roman"/>
              </w:rPr>
              <w:t>ди земель уже подлежат отчуждению. Для грамотного осуществления процесса рекультивации нарушенных территорий важно понимать степень деградации почвенных покровов, поэтому ц</w:t>
            </w:r>
            <w:r w:rsidRPr="009168C7">
              <w:rPr>
                <w:rFonts w:ascii="Times New Roman" w:hAnsi="Times New Roman" w:cs="Times New Roman"/>
              </w:rPr>
              <w:t>е</w:t>
            </w:r>
            <w:r w:rsidRPr="009168C7">
              <w:rPr>
                <w:rFonts w:ascii="Times New Roman" w:hAnsi="Times New Roman" w:cs="Times New Roman"/>
              </w:rPr>
              <w:t>лью раб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 xml:space="preserve">ты являлось изучение агрохимических и микробиологических свойств почв породного отвала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Барзасской</w:t>
            </w:r>
            <w:proofErr w:type="spellEnd"/>
            <w:r w:rsidRPr="009168C7">
              <w:rPr>
                <w:rFonts w:ascii="Times New Roman" w:hAnsi="Times New Roman" w:cs="Times New Roman"/>
              </w:rPr>
              <w:t xml:space="preserve"> обогатительной фабрики. В ходе работы изучены образцы почв с поверхнос</w:t>
            </w:r>
            <w:r w:rsidRPr="009168C7">
              <w:rPr>
                <w:rFonts w:ascii="Times New Roman" w:hAnsi="Times New Roman" w:cs="Times New Roman"/>
              </w:rPr>
              <w:t>т</w:t>
            </w:r>
            <w:r w:rsidRPr="009168C7">
              <w:rPr>
                <w:rFonts w:ascii="Times New Roman" w:hAnsi="Times New Roman" w:cs="Times New Roman"/>
              </w:rPr>
              <w:t>ного слоя отвала, а также с границ железнодорожной защитной лесополосы. Изученные почвы о</w:t>
            </w:r>
            <w:r w:rsidRPr="009168C7">
              <w:rPr>
                <w:rFonts w:ascii="Times New Roman" w:hAnsi="Times New Roman" w:cs="Times New Roman"/>
              </w:rPr>
              <w:t>т</w:t>
            </w:r>
            <w:r w:rsidRPr="009168C7">
              <w:rPr>
                <w:rFonts w:ascii="Times New Roman" w:hAnsi="Times New Roman" w:cs="Times New Roman"/>
              </w:rPr>
              <w:t xml:space="preserve">вала относят к </w:t>
            </w:r>
            <w:proofErr w:type="gramStart"/>
            <w:r w:rsidRPr="009168C7">
              <w:rPr>
                <w:rFonts w:ascii="Times New Roman" w:hAnsi="Times New Roman" w:cs="Times New Roman"/>
              </w:rPr>
              <w:t>слабощелочным</w:t>
            </w:r>
            <w:proofErr w:type="gramEnd"/>
            <w:r w:rsidRPr="009168C7">
              <w:rPr>
                <w:rFonts w:ascii="Times New Roman" w:hAnsi="Times New Roman" w:cs="Times New Roman"/>
              </w:rPr>
              <w:t xml:space="preserve"> (среднее значение </w:t>
            </w:r>
            <w:r w:rsidRPr="009168C7">
              <w:rPr>
                <w:rFonts w:ascii="Times New Roman" w:hAnsi="Times New Roman" w:cs="Times New Roman"/>
                <w:lang w:val="en-US"/>
              </w:rPr>
              <w:t>pH</w:t>
            </w:r>
            <w:r w:rsidRPr="009168C7">
              <w:rPr>
                <w:rFonts w:ascii="Times New Roman" w:hAnsi="Times New Roman" w:cs="Times New Roman"/>
              </w:rPr>
              <w:t xml:space="preserve"> 7,899). Почвы, отобранные с железнодоро</w:t>
            </w:r>
            <w:r w:rsidRPr="009168C7">
              <w:rPr>
                <w:rFonts w:ascii="Times New Roman" w:hAnsi="Times New Roman" w:cs="Times New Roman"/>
              </w:rPr>
              <w:t>ж</w:t>
            </w:r>
            <w:r w:rsidRPr="009168C7">
              <w:rPr>
                <w:rFonts w:ascii="Times New Roman" w:hAnsi="Times New Roman" w:cs="Times New Roman"/>
              </w:rPr>
              <w:t xml:space="preserve">ной защитной лесополосы, подверглись </w:t>
            </w:r>
            <w:proofErr w:type="spellStart"/>
            <w:r w:rsidRPr="009168C7">
              <w:rPr>
                <w:rFonts w:ascii="Times New Roman" w:hAnsi="Times New Roman" w:cs="Times New Roman"/>
              </w:rPr>
              <w:t>закислению</w:t>
            </w:r>
            <w:proofErr w:type="spellEnd"/>
            <w:r w:rsidRPr="009168C7">
              <w:rPr>
                <w:rFonts w:ascii="Times New Roman" w:hAnsi="Times New Roman" w:cs="Times New Roman"/>
              </w:rPr>
              <w:t>. В образцах отмечено низкое содержание аз</w:t>
            </w:r>
            <w:r w:rsidRPr="009168C7">
              <w:rPr>
                <w:rFonts w:ascii="Times New Roman" w:hAnsi="Times New Roman" w:cs="Times New Roman"/>
              </w:rPr>
              <w:t>о</w:t>
            </w:r>
            <w:r w:rsidRPr="009168C7">
              <w:rPr>
                <w:rFonts w:ascii="Times New Roman" w:hAnsi="Times New Roman" w:cs="Times New Roman"/>
              </w:rPr>
              <w:t xml:space="preserve">та (аммонийный и </w:t>
            </w:r>
            <w:r w:rsidRPr="009168C7">
              <w:rPr>
                <w:rFonts w:ascii="Times New Roman" w:hAnsi="Times New Roman" w:cs="Times New Roman"/>
                <w:spacing w:val="-2"/>
              </w:rPr>
              <w:t>нитратный – &lt;5,0 и &lt;2,8 мг/кг соответственно). Обнаружено значительное соде</w:t>
            </w:r>
            <w:r w:rsidRPr="009168C7">
              <w:rPr>
                <w:rFonts w:ascii="Times New Roman" w:hAnsi="Times New Roman" w:cs="Times New Roman"/>
                <w:spacing w:val="-2"/>
              </w:rPr>
              <w:t>р</w:t>
            </w:r>
            <w:r w:rsidRPr="009168C7">
              <w:rPr>
                <w:rFonts w:ascii="Times New Roman" w:hAnsi="Times New Roman" w:cs="Times New Roman"/>
                <w:spacing w:val="-2"/>
              </w:rPr>
              <w:t>жание, свидетел</w:t>
            </w:r>
            <w:r w:rsidRPr="009168C7">
              <w:rPr>
                <w:rFonts w:ascii="Times New Roman" w:hAnsi="Times New Roman" w:cs="Times New Roman"/>
                <w:spacing w:val="-2"/>
              </w:rPr>
              <w:t>ь</w:t>
            </w:r>
            <w:r w:rsidRPr="009168C7">
              <w:rPr>
                <w:rFonts w:ascii="Times New Roman" w:hAnsi="Times New Roman" w:cs="Times New Roman"/>
                <w:spacing w:val="-2"/>
              </w:rPr>
              <w:t xml:space="preserve">ствующее о засолении. Установлено, что </w:t>
            </w:r>
            <w:proofErr w:type="spellStart"/>
            <w:r w:rsidRPr="009168C7">
              <w:rPr>
                <w:rFonts w:ascii="Times New Roman" w:hAnsi="Times New Roman" w:cs="Times New Roman"/>
                <w:spacing w:val="-2"/>
              </w:rPr>
              <w:t>закисление</w:t>
            </w:r>
            <w:proofErr w:type="spellEnd"/>
            <w:r w:rsidRPr="009168C7">
              <w:rPr>
                <w:rFonts w:ascii="Times New Roman" w:hAnsi="Times New Roman" w:cs="Times New Roman"/>
                <w:spacing w:val="-2"/>
              </w:rPr>
              <w:t xml:space="preserve"> почв </w:t>
            </w:r>
            <w:proofErr w:type="spellStart"/>
            <w:r w:rsidRPr="009168C7">
              <w:rPr>
                <w:rFonts w:ascii="Times New Roman" w:hAnsi="Times New Roman" w:cs="Times New Roman"/>
                <w:spacing w:val="-2"/>
              </w:rPr>
              <w:t>техногенно</w:t>
            </w:r>
            <w:proofErr w:type="spellEnd"/>
            <w:r w:rsidRPr="009168C7">
              <w:rPr>
                <w:rFonts w:ascii="Times New Roman" w:hAnsi="Times New Roman" w:cs="Times New Roman"/>
                <w:spacing w:val="-2"/>
              </w:rPr>
              <w:t xml:space="preserve"> нарушенных территорий пр</w:t>
            </w:r>
            <w:r w:rsidRPr="009168C7">
              <w:rPr>
                <w:rFonts w:ascii="Times New Roman" w:hAnsi="Times New Roman" w:cs="Times New Roman"/>
                <w:spacing w:val="-2"/>
              </w:rPr>
              <w:t>и</w:t>
            </w:r>
            <w:r w:rsidRPr="009168C7">
              <w:rPr>
                <w:rFonts w:ascii="Times New Roman" w:hAnsi="Times New Roman" w:cs="Times New Roman"/>
                <w:spacing w:val="-2"/>
              </w:rPr>
              <w:t xml:space="preserve">водит к нарушению </w:t>
            </w:r>
            <w:proofErr w:type="spellStart"/>
            <w:r w:rsidRPr="009168C7">
              <w:rPr>
                <w:rFonts w:ascii="Times New Roman" w:hAnsi="Times New Roman" w:cs="Times New Roman"/>
                <w:spacing w:val="-2"/>
              </w:rPr>
              <w:t>микробиоты</w:t>
            </w:r>
            <w:proofErr w:type="spellEnd"/>
            <w:r w:rsidRPr="009168C7">
              <w:rPr>
                <w:rFonts w:ascii="Times New Roman" w:hAnsi="Times New Roman" w:cs="Times New Roman"/>
                <w:spacing w:val="-2"/>
              </w:rPr>
              <w:t xml:space="preserve"> почв, увеличению содержания в них условно-патогенных микрооргани</w:t>
            </w:r>
            <w:r w:rsidRPr="009168C7">
              <w:rPr>
                <w:rFonts w:ascii="Times New Roman" w:hAnsi="Times New Roman" w:cs="Times New Roman"/>
                <w:spacing w:val="-2"/>
              </w:rPr>
              <w:t>з</w:t>
            </w:r>
            <w:r w:rsidRPr="009168C7">
              <w:rPr>
                <w:rFonts w:ascii="Times New Roman" w:hAnsi="Times New Roman" w:cs="Times New Roman"/>
                <w:spacing w:val="-2"/>
              </w:rPr>
              <w:t>мов</w:t>
            </w:r>
            <w:r w:rsidRPr="009168C7">
              <w:rPr>
                <w:rFonts w:ascii="Times New Roman" w:hAnsi="Times New Roman" w:cs="Times New Roman"/>
              </w:rPr>
              <w:t>.</w:t>
            </w: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168C7" w:rsidRPr="009168C7" w:rsidRDefault="009168C7" w:rsidP="00900C5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168C7">
              <w:rPr>
                <w:rFonts w:ascii="Times New Roman" w:hAnsi="Times New Roman" w:cs="Times New Roman"/>
                <w:b/>
              </w:rPr>
              <w:t>Ключевые слова:</w:t>
            </w:r>
            <w:r w:rsidRPr="009168C7">
              <w:rPr>
                <w:rFonts w:ascii="Times New Roman" w:hAnsi="Times New Roman" w:cs="Times New Roman"/>
              </w:rPr>
              <w:t xml:space="preserve"> агрохимические показатели, микробиологические показатели, почвы, отвалы, р</w:t>
            </w:r>
            <w:r w:rsidRPr="009168C7">
              <w:rPr>
                <w:rFonts w:ascii="Times New Roman" w:hAnsi="Times New Roman" w:cs="Times New Roman"/>
              </w:rPr>
              <w:t>е</w:t>
            </w:r>
            <w:r w:rsidRPr="009168C7">
              <w:rPr>
                <w:rFonts w:ascii="Times New Roman" w:hAnsi="Times New Roman" w:cs="Times New Roman"/>
              </w:rPr>
              <w:t>культивация.</w:t>
            </w:r>
          </w:p>
          <w:p w:rsidR="009168C7" w:rsidRPr="009168C7" w:rsidRDefault="009168C7" w:rsidP="009168C7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9168C7" w:rsidRPr="009168C7" w:rsidRDefault="009168C7" w:rsidP="009168C7">
            <w:pPr>
              <w:rPr>
                <w:rFonts w:ascii="Times New Roman" w:hAnsi="Times New Roman" w:cs="Times New Roman"/>
              </w:rPr>
            </w:pPr>
          </w:p>
        </w:tc>
      </w:tr>
    </w:tbl>
    <w:p w:rsidR="009168C7" w:rsidRPr="009168C7" w:rsidRDefault="009168C7">
      <w:pPr>
        <w:rPr>
          <w:rFonts w:ascii="Times New Roman" w:hAnsi="Times New Roman" w:cs="Times New Roman"/>
        </w:rPr>
      </w:pPr>
    </w:p>
    <w:sectPr w:rsidR="009168C7" w:rsidRPr="009168C7" w:rsidSect="00900C5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C7" w:rsidRDefault="009168C7" w:rsidP="009168C7">
      <w:pPr>
        <w:spacing w:after="0" w:line="240" w:lineRule="auto"/>
      </w:pPr>
      <w:r>
        <w:separator/>
      </w:r>
    </w:p>
  </w:endnote>
  <w:endnote w:type="continuationSeparator" w:id="0">
    <w:p w:rsidR="009168C7" w:rsidRDefault="009168C7" w:rsidP="0091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C7" w:rsidRDefault="009168C7" w:rsidP="009168C7">
      <w:pPr>
        <w:spacing w:after="0" w:line="240" w:lineRule="auto"/>
      </w:pPr>
      <w:r>
        <w:separator/>
      </w:r>
    </w:p>
  </w:footnote>
  <w:footnote w:type="continuationSeparator" w:id="0">
    <w:p w:rsidR="009168C7" w:rsidRDefault="009168C7" w:rsidP="009168C7">
      <w:pPr>
        <w:spacing w:after="0" w:line="240" w:lineRule="auto"/>
      </w:pPr>
      <w:r>
        <w:continuationSeparator/>
      </w:r>
    </w:p>
  </w:footnote>
  <w:footnote w:id="1">
    <w:p w:rsidR="009168C7" w:rsidRPr="000F27E0" w:rsidRDefault="009168C7" w:rsidP="009168C7">
      <w:pPr>
        <w:pStyle w:val="a4"/>
        <w:ind w:firstLine="284"/>
        <w:rPr>
          <w:rFonts w:ascii="Times New Roman" w:hAnsi="Times New Roman" w:cs="Times New Roman"/>
        </w:rPr>
      </w:pPr>
      <w:r w:rsidRPr="000F27E0">
        <w:rPr>
          <w:rStyle w:val="a6"/>
        </w:rPr>
        <w:t>*</w:t>
      </w:r>
      <w:r w:rsidRPr="000F27E0">
        <w:t> </w:t>
      </w:r>
      <w:proofErr w:type="gramStart"/>
      <w:r w:rsidRPr="000F27E0">
        <w:rPr>
          <w:rFonts w:ascii="Times New Roman" w:hAnsi="Times New Roman" w:cs="Times New Roman"/>
        </w:rPr>
        <w:t>Работа выполнена в рамках государственного задания для выполнения научно-исследовательских р</w:t>
      </w:r>
      <w:r w:rsidRPr="000F27E0">
        <w:rPr>
          <w:rFonts w:ascii="Times New Roman" w:hAnsi="Times New Roman" w:cs="Times New Roman"/>
        </w:rPr>
        <w:t>а</w:t>
      </w:r>
      <w:r w:rsidRPr="000F27E0">
        <w:rPr>
          <w:rFonts w:ascii="Times New Roman" w:hAnsi="Times New Roman" w:cs="Times New Roman"/>
        </w:rPr>
        <w:t xml:space="preserve">бот по теме «Разработка подходов к </w:t>
      </w:r>
      <w:proofErr w:type="spellStart"/>
      <w:r w:rsidRPr="000F27E0">
        <w:rPr>
          <w:rFonts w:ascii="Times New Roman" w:hAnsi="Times New Roman" w:cs="Times New Roman"/>
        </w:rPr>
        <w:t>фиторемедиации</w:t>
      </w:r>
      <w:proofErr w:type="spellEnd"/>
      <w:r w:rsidRPr="000F27E0">
        <w:rPr>
          <w:rFonts w:ascii="Times New Roman" w:hAnsi="Times New Roman" w:cs="Times New Roman"/>
        </w:rPr>
        <w:t xml:space="preserve"> </w:t>
      </w:r>
      <w:proofErr w:type="spellStart"/>
      <w:r w:rsidRPr="000F27E0">
        <w:rPr>
          <w:rFonts w:ascii="Times New Roman" w:hAnsi="Times New Roman" w:cs="Times New Roman"/>
        </w:rPr>
        <w:t>посттехногенных</w:t>
      </w:r>
      <w:proofErr w:type="spellEnd"/>
      <w:r w:rsidRPr="000F27E0">
        <w:rPr>
          <w:rFonts w:ascii="Times New Roman" w:hAnsi="Times New Roman" w:cs="Times New Roman"/>
        </w:rPr>
        <w:t xml:space="preserve"> ландшафтов с использованием стимулиру</w:t>
      </w:r>
      <w:r w:rsidRPr="000F27E0">
        <w:rPr>
          <w:rFonts w:ascii="Times New Roman" w:hAnsi="Times New Roman" w:cs="Times New Roman"/>
        </w:rPr>
        <w:t>ю</w:t>
      </w:r>
      <w:r w:rsidRPr="000F27E0">
        <w:rPr>
          <w:rFonts w:ascii="Times New Roman" w:hAnsi="Times New Roman" w:cs="Times New Roman"/>
        </w:rPr>
        <w:t xml:space="preserve">щих рост растений </w:t>
      </w:r>
      <w:proofErr w:type="spellStart"/>
      <w:r w:rsidRPr="000F27E0">
        <w:rPr>
          <w:rFonts w:ascii="Times New Roman" w:hAnsi="Times New Roman" w:cs="Times New Roman"/>
        </w:rPr>
        <w:t>ризобактерий</w:t>
      </w:r>
      <w:proofErr w:type="spellEnd"/>
      <w:r w:rsidRPr="000F27E0">
        <w:rPr>
          <w:rFonts w:ascii="Times New Roman" w:hAnsi="Times New Roman" w:cs="Times New Roman"/>
        </w:rPr>
        <w:t xml:space="preserve"> (</w:t>
      </w:r>
      <w:proofErr w:type="spellStart"/>
      <w:r w:rsidRPr="000F27E0">
        <w:rPr>
          <w:rFonts w:ascii="Times New Roman" w:hAnsi="Times New Roman" w:cs="Times New Roman"/>
        </w:rPr>
        <w:t>PGPB</w:t>
      </w:r>
      <w:proofErr w:type="spellEnd"/>
      <w:r w:rsidRPr="000F27E0">
        <w:rPr>
          <w:rFonts w:ascii="Times New Roman" w:hAnsi="Times New Roman" w:cs="Times New Roman"/>
        </w:rPr>
        <w:t xml:space="preserve">) и </w:t>
      </w:r>
      <w:r w:rsidRPr="000F27E0">
        <w:rPr>
          <w:rFonts w:ascii="Times New Roman" w:hAnsi="Times New Roman" w:cs="Times New Roman"/>
          <w:lang w:val="en-US"/>
        </w:rPr>
        <w:t>‟</w:t>
      </w:r>
      <w:proofErr w:type="spellStart"/>
      <w:r w:rsidRPr="000F27E0">
        <w:rPr>
          <w:rFonts w:ascii="Times New Roman" w:hAnsi="Times New Roman" w:cs="Times New Roman"/>
        </w:rPr>
        <w:t>омиксных</w:t>
      </w:r>
      <w:proofErr w:type="spellEnd"/>
      <w:r w:rsidRPr="000F27E0">
        <w:rPr>
          <w:rFonts w:ascii="Times New Roman" w:hAnsi="Times New Roman" w:cs="Times New Roman"/>
        </w:rPr>
        <w:t>” технологий», дополнительное согл</w:t>
      </w:r>
      <w:r w:rsidRPr="000F27E0">
        <w:rPr>
          <w:rFonts w:ascii="Times New Roman" w:hAnsi="Times New Roman" w:cs="Times New Roman"/>
        </w:rPr>
        <w:t>а</w:t>
      </w:r>
      <w:r w:rsidRPr="000F27E0">
        <w:rPr>
          <w:rFonts w:ascii="Times New Roman" w:hAnsi="Times New Roman" w:cs="Times New Roman"/>
        </w:rPr>
        <w:t>шение № 075–03–2021–189/4 от 30.09.2021 (внутренний номер 075–</w:t>
      </w:r>
      <w:proofErr w:type="spellStart"/>
      <w:r w:rsidRPr="000F27E0">
        <w:rPr>
          <w:rFonts w:ascii="Times New Roman" w:hAnsi="Times New Roman" w:cs="Times New Roman"/>
        </w:rPr>
        <w:t>ГЗ</w:t>
      </w:r>
      <w:proofErr w:type="spellEnd"/>
      <w:r w:rsidRPr="000F27E0">
        <w:rPr>
          <w:rFonts w:ascii="Times New Roman" w:hAnsi="Times New Roman" w:cs="Times New Roman"/>
        </w:rPr>
        <w:t>/</w:t>
      </w:r>
      <w:proofErr w:type="spellStart"/>
      <w:r w:rsidRPr="000F27E0">
        <w:rPr>
          <w:rFonts w:ascii="Times New Roman" w:hAnsi="Times New Roman" w:cs="Times New Roman"/>
        </w:rPr>
        <w:t>X4140</w:t>
      </w:r>
      <w:proofErr w:type="spellEnd"/>
      <w:r w:rsidRPr="000F27E0">
        <w:rPr>
          <w:rFonts w:ascii="Times New Roman" w:hAnsi="Times New Roman" w:cs="Times New Roman"/>
        </w:rPr>
        <w:t>/679/4</w:t>
      </w:r>
      <w:r>
        <w:rPr>
          <w:rFonts w:ascii="Times New Roman" w:hAnsi="Times New Roman" w:cs="Times New Roman"/>
        </w:rPr>
        <w:t>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revisionView w:inkAnnotation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C7"/>
    <w:rsid w:val="00085A18"/>
    <w:rsid w:val="000A547F"/>
    <w:rsid w:val="000E1A86"/>
    <w:rsid w:val="000F014D"/>
    <w:rsid w:val="00123D3D"/>
    <w:rsid w:val="001436F8"/>
    <w:rsid w:val="0015356C"/>
    <w:rsid w:val="001C2DCA"/>
    <w:rsid w:val="00224428"/>
    <w:rsid w:val="00234126"/>
    <w:rsid w:val="002457C5"/>
    <w:rsid w:val="002562B9"/>
    <w:rsid w:val="0027379D"/>
    <w:rsid w:val="00280E88"/>
    <w:rsid w:val="002E7CB4"/>
    <w:rsid w:val="003637C4"/>
    <w:rsid w:val="00393C8D"/>
    <w:rsid w:val="003A28BD"/>
    <w:rsid w:val="003D112C"/>
    <w:rsid w:val="00403FF4"/>
    <w:rsid w:val="004A751F"/>
    <w:rsid w:val="004B1C29"/>
    <w:rsid w:val="004D096C"/>
    <w:rsid w:val="004F5E98"/>
    <w:rsid w:val="005373E2"/>
    <w:rsid w:val="005A21B0"/>
    <w:rsid w:val="005B1EAD"/>
    <w:rsid w:val="00662232"/>
    <w:rsid w:val="006B4227"/>
    <w:rsid w:val="007043EF"/>
    <w:rsid w:val="00721DB9"/>
    <w:rsid w:val="0077727B"/>
    <w:rsid w:val="007B32A1"/>
    <w:rsid w:val="007D6833"/>
    <w:rsid w:val="007F0AF6"/>
    <w:rsid w:val="008008A0"/>
    <w:rsid w:val="00811DD9"/>
    <w:rsid w:val="008432CB"/>
    <w:rsid w:val="008C70D3"/>
    <w:rsid w:val="008D4207"/>
    <w:rsid w:val="008D5CCA"/>
    <w:rsid w:val="008E059D"/>
    <w:rsid w:val="00900C5D"/>
    <w:rsid w:val="009168C7"/>
    <w:rsid w:val="00934C50"/>
    <w:rsid w:val="00986592"/>
    <w:rsid w:val="00986802"/>
    <w:rsid w:val="009876C5"/>
    <w:rsid w:val="009977F2"/>
    <w:rsid w:val="00A44C41"/>
    <w:rsid w:val="00A7707C"/>
    <w:rsid w:val="00A93D43"/>
    <w:rsid w:val="00AF1A03"/>
    <w:rsid w:val="00B3052D"/>
    <w:rsid w:val="00B72AF2"/>
    <w:rsid w:val="00B765E0"/>
    <w:rsid w:val="00B768CD"/>
    <w:rsid w:val="00B8612E"/>
    <w:rsid w:val="00B97FC6"/>
    <w:rsid w:val="00BC39A9"/>
    <w:rsid w:val="00BD5F2C"/>
    <w:rsid w:val="00CD2E55"/>
    <w:rsid w:val="00CD664E"/>
    <w:rsid w:val="00CE366C"/>
    <w:rsid w:val="00E63FEE"/>
    <w:rsid w:val="00E64467"/>
    <w:rsid w:val="00EE046E"/>
    <w:rsid w:val="00EF5281"/>
    <w:rsid w:val="00F830B6"/>
    <w:rsid w:val="00FB58C2"/>
    <w:rsid w:val="00FC11AA"/>
    <w:rsid w:val="00FE3D36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18"/>
  </w:style>
  <w:style w:type="paragraph" w:styleId="1">
    <w:name w:val="heading 1"/>
    <w:basedOn w:val="a"/>
    <w:next w:val="a"/>
    <w:link w:val="10"/>
    <w:qFormat/>
    <w:rsid w:val="009168C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Семейство"/>
    <w:basedOn w:val="a"/>
    <w:link w:val="20"/>
    <w:uiPriority w:val="9"/>
    <w:qFormat/>
    <w:rsid w:val="009168C7"/>
    <w:pPr>
      <w:spacing w:before="150" w:after="0" w:line="270" w:lineRule="atLeast"/>
      <w:jc w:val="both"/>
      <w:outlineLvl w:val="1"/>
    </w:pPr>
    <w:rPr>
      <w:rFonts w:ascii="Verdana" w:eastAsia="Batang" w:hAnsi="Verdana" w:cs="Verdana"/>
      <w:b/>
      <w:bCs/>
      <w:color w:val="00000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68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Семейство Знак"/>
    <w:basedOn w:val="a0"/>
    <w:link w:val="2"/>
    <w:uiPriority w:val="9"/>
    <w:rsid w:val="009168C7"/>
    <w:rPr>
      <w:rFonts w:ascii="Verdana" w:eastAsia="Batang" w:hAnsi="Verdana" w:cs="Verdana"/>
      <w:b/>
      <w:bCs/>
      <w:color w:val="000000"/>
      <w:sz w:val="24"/>
      <w:szCs w:val="24"/>
      <w:lang w:eastAsia="ko-KR"/>
    </w:rPr>
  </w:style>
  <w:style w:type="paragraph" w:styleId="a4">
    <w:name w:val="footnote text"/>
    <w:aliases w:val="Table_Footnote_last,Текст сноски Знак Знак,Текст сноски Знак Знак Знак,Текст сноски-FN,Footnote Text Char Знак Знак,Footnote Text Char Знак,Oaeno niinee Ciae Ciae Ciae Ciae,Oaeno niinee Ciae Ciae Ciae,Footnote Text Char"/>
    <w:basedOn w:val="a"/>
    <w:link w:val="a5"/>
    <w:uiPriority w:val="99"/>
    <w:rsid w:val="009168C7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,Footnote Text Char Знак1"/>
    <w:basedOn w:val="a0"/>
    <w:link w:val="a4"/>
    <w:uiPriority w:val="99"/>
    <w:rsid w:val="009168C7"/>
    <w:rPr>
      <w:rFonts w:ascii="Calibri" w:eastAsia="Times New Roman" w:hAnsi="Calibri" w:cs="Calibri"/>
      <w:sz w:val="20"/>
      <w:szCs w:val="20"/>
      <w:lang w:eastAsia="ru-RU"/>
    </w:rPr>
  </w:style>
  <w:style w:type="character" w:styleId="a6">
    <w:name w:val="footnote reference"/>
    <w:aliases w:val="Ссылка на сноску 45,Appel note de bas de page,Знак сноски 1,Знак сноски-FN,Ciae niinee-FN,Referencia nota al pie"/>
    <w:basedOn w:val="a0"/>
    <w:uiPriority w:val="99"/>
    <w:rsid w:val="009168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</cp:revision>
  <dcterms:created xsi:type="dcterms:W3CDTF">2022-10-02T21:58:00Z</dcterms:created>
  <dcterms:modified xsi:type="dcterms:W3CDTF">2022-10-02T22:10:00Z</dcterms:modified>
</cp:coreProperties>
</file>