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120"/>
        <w:shd w:val="clear" w:color="auto" w:fill="ffffff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Таблица 3.4.1 -</w:t>
      </w:r>
      <w:r>
        <w:rPr>
          <w:bCs/>
          <w:sz w:val="24"/>
          <w:szCs w:val="24"/>
          <w:highlight w:val="none"/>
        </w:rPr>
        <w:t xml:space="preserve"> </w:t>
      </w:r>
      <w:r>
        <w:rPr>
          <w:bCs/>
          <w:sz w:val="24"/>
          <w:szCs w:val="24"/>
          <w:highlight w:val="none"/>
        </w:rPr>
        <w:t xml:space="preserve">Финансирование социально-воспитательной работы в 2023 г.</w:t>
      </w:r>
      <w:r>
        <w:rPr>
          <w:bCs/>
          <w:sz w:val="24"/>
          <w:szCs w:val="24"/>
          <w:highlight w:val="none"/>
        </w:rPr>
      </w:r>
    </w:p>
    <w:tbl>
      <w:tblPr>
        <w:tblW w:w="5000" w:type="pct"/>
        <w:tblInd w:w="-4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4"/>
        <w:gridCol w:w="954"/>
        <w:gridCol w:w="1362"/>
        <w:gridCol w:w="1298"/>
        <w:gridCol w:w="1601"/>
      </w:tblGrid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  <w:highlight w:val="none"/>
              </w:rPr>
              <w:t xml:space="preserve">Объем выделенных средств в 2022 году, </w:t>
            </w:r>
            <w:r>
              <w:rPr>
                <w:bCs/>
                <w:sz w:val="18"/>
                <w:szCs w:val="18"/>
                <w:highlight w:val="none"/>
              </w:rPr>
              <w:t xml:space="preserve">тыс.руб</w:t>
            </w:r>
            <w:r>
              <w:rPr>
                <w:bCs/>
                <w:sz w:val="18"/>
                <w:szCs w:val="18"/>
                <w:highlight w:val="none"/>
              </w:rPr>
              <w:t xml:space="preserve">.</w:t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Всего</w:t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68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в том числе осуществляемые за счет средств</w:t>
            </w:r>
            <w:r>
              <w:rPr>
                <w:bCs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vMerge w:val="continue"/>
            <w:textDirection w:val="lrTb"/>
            <w:noWrap w:val="false"/>
          </w:tcPr>
          <w:p>
            <w:pPr>
              <w:spacing w:line="252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vMerge w:val="continue"/>
            <w:textDirection w:val="lrTb"/>
            <w:noWrap w:val="false"/>
          </w:tcPr>
          <w:p>
            <w:pPr>
              <w:spacing w:line="252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бюджетов всех уровней (субсидий)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организаций и предприятий реального сектора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экономики и социальной сферы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из гр. 4 – осуществляющих деятельность по профилю реализуемых образовательной организацией образовательных программ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i/>
                <w:sz w:val="16"/>
                <w:szCs w:val="16"/>
                <w:highlight w:val="none"/>
              </w:rPr>
            </w:pPr>
            <w:r>
              <w:rPr>
                <w:bCs/>
                <w:i/>
                <w:sz w:val="16"/>
                <w:szCs w:val="16"/>
                <w:highlight w:val="none"/>
              </w:rPr>
              <w:t xml:space="preserve">1</w:t>
            </w:r>
            <w:r>
              <w:rPr>
                <w:bCs/>
                <w:i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i/>
                <w:sz w:val="16"/>
                <w:szCs w:val="16"/>
                <w:highlight w:val="none"/>
              </w:rPr>
            </w:pPr>
            <w:r>
              <w:rPr>
                <w:bCs/>
                <w:i/>
                <w:sz w:val="16"/>
                <w:szCs w:val="16"/>
                <w:highlight w:val="none"/>
              </w:rPr>
              <w:t xml:space="preserve">2</w:t>
            </w:r>
            <w:r>
              <w:rPr>
                <w:bCs/>
                <w:i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i/>
                <w:color w:val="000000"/>
                <w:sz w:val="16"/>
                <w:szCs w:val="16"/>
                <w:highlight w:val="none"/>
              </w:rPr>
            </w:pPr>
            <w:r>
              <w:rPr>
                <w:i/>
                <w:color w:val="000000"/>
                <w:sz w:val="16"/>
                <w:szCs w:val="16"/>
                <w:highlight w:val="none"/>
              </w:rPr>
              <w:t xml:space="preserve">3</w:t>
            </w:r>
            <w:r>
              <w:rPr>
                <w:i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i/>
                <w:color w:val="000000"/>
                <w:sz w:val="16"/>
                <w:szCs w:val="16"/>
                <w:highlight w:val="none"/>
              </w:rPr>
            </w:pPr>
            <w:r>
              <w:rPr>
                <w:i/>
                <w:color w:val="000000"/>
                <w:sz w:val="16"/>
                <w:szCs w:val="16"/>
                <w:highlight w:val="none"/>
              </w:rPr>
              <w:t xml:space="preserve">4</w:t>
            </w:r>
            <w:r>
              <w:rPr>
                <w:i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widowControl w:val="off"/>
              <w:rPr>
                <w:i/>
                <w:color w:val="000000"/>
                <w:sz w:val="16"/>
                <w:szCs w:val="16"/>
                <w:highlight w:val="none"/>
              </w:rPr>
            </w:pPr>
            <w:r>
              <w:rPr>
                <w:i/>
                <w:color w:val="000000"/>
                <w:sz w:val="16"/>
                <w:szCs w:val="16"/>
                <w:highlight w:val="none"/>
              </w:rPr>
              <w:t xml:space="preserve">5</w:t>
            </w:r>
            <w:r>
              <w:rPr>
                <w:i/>
                <w:color w:val="000000"/>
                <w:sz w:val="16"/>
                <w:szCs w:val="16"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Расходы на осуществление воспитательной и социализирующей деятельности – всего*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highlight w:val="none"/>
                <w:shd w:val="clear" w:color="auto" w:fill="ffff00"/>
              </w:rPr>
            </w:pPr>
            <w:r>
              <w:rPr>
                <w:highlight w:val="none"/>
                <w:shd w:val="clear" w:color="auto" w:fill="ffff00"/>
              </w:rPr>
              <w:t xml:space="preserve">10562</w:t>
            </w:r>
            <w:r>
              <w:rPr>
                <w:highlight w:val="none"/>
                <w:shd w:val="clear" w:color="auto" w:fill="ffff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highlight w:val="none"/>
                <w:shd w:val="clear" w:color="auto" w:fill="ffff00"/>
              </w:rPr>
            </w:pPr>
            <w:r>
              <w:rPr>
                <w:highlight w:val="none"/>
                <w:shd w:val="clear" w:color="auto" w:fill="ffff00"/>
              </w:rPr>
              <w:t xml:space="preserve">9845</w:t>
            </w:r>
            <w:r>
              <w:rPr>
                <w:highlight w:val="none"/>
                <w:shd w:val="clear" w:color="auto" w:fill="ffff00"/>
              </w:rPr>
            </w:r>
          </w:p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highlight w:val="none"/>
                <w:shd w:val="clear" w:color="auto" w:fill="ffff00"/>
              </w:rPr>
            </w:pPr>
            <w:r>
              <w:rPr>
                <w:highlight w:val="none"/>
                <w:shd w:val="clear" w:color="auto" w:fill="ffff00"/>
              </w:rPr>
            </w:r>
            <w:r>
              <w:rPr>
                <w:highlight w:val="none"/>
                <w:shd w:val="clear" w:color="auto" w:fill="ffff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highlight w:val="none"/>
                <w:shd w:val="clear" w:color="auto" w:fill="ffff00"/>
              </w:rPr>
            </w:pPr>
            <w:r>
              <w:rPr>
                <w:highlight w:val="none"/>
                <w:shd w:val="clear" w:color="auto" w:fill="ffff00"/>
              </w:rPr>
            </w:r>
            <w:r>
              <w:rPr>
                <w:highlight w:val="none"/>
                <w:shd w:val="clear" w:color="auto" w:fill="ffff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в том числе по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 направлениям деятельности:</w:t>
            </w:r>
            <w:r>
              <w:rPr>
                <w:color w:val="000000"/>
                <w:sz w:val="18"/>
                <w:szCs w:val="18"/>
                <w:highlight w:val="none"/>
              </w:rPr>
              <w:br/>
              <w:t xml:space="preserve">гражданско-патриотическое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профессионально-ориентирующее (развитие карьеры)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спортивное и </w:t>
            </w:r>
            <w:r>
              <w:rPr>
                <w:color w:val="000000"/>
                <w:sz w:val="18"/>
                <w:szCs w:val="18"/>
                <w:highlight w:val="none"/>
              </w:rPr>
              <w:t xml:space="preserve">здоровьесберегающее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8775</w:t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8237</w:t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экологическое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студенческое самоуправление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sz w:val="18"/>
                <w:szCs w:val="18"/>
                <w:highlight w:val="none"/>
              </w:rPr>
              <w:t xml:space="preserve">культурно-творческое</w:t>
            </w:r>
            <w:r>
              <w:rPr>
                <w:color w:val="000000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1787</w:t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  <w:t xml:space="preserve">1608</w:t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  <w:highlight w:val="none"/>
              </w:rPr>
            </w:pPr>
            <w:r>
              <w:rPr>
                <w:bCs/>
                <w:highlight w:val="none"/>
              </w:rPr>
            </w:r>
            <w:r>
              <w:rPr>
                <w:bCs/>
                <w:highlight w:val="none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31" w:type="dxa"/>
            <w:vAlign w:val="center"/>
            <w:textDirection w:val="lrTb"/>
            <w:noWrap w:val="false"/>
          </w:tcPr>
          <w:p>
            <w:pPr>
              <w:jc w:val="both"/>
              <w:spacing w:line="252" w:lineRule="auto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бизнес-ориентирующее </w:t>
            </w:r>
            <w:r>
              <w:rPr>
                <w:color w:val="000000"/>
                <w:sz w:val="18"/>
                <w:szCs w:val="18"/>
              </w:rPr>
              <w:t xml:space="preserve">(молодежное предпринимательство)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shd w:val="clear" w:color="auto" w:fill="ffffff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628"/>
        <w:jc w:val="both"/>
        <w:spacing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*</w:t>
      </w:r>
      <w:r>
        <w:rPr>
          <w:b/>
          <w:sz w:val="16"/>
          <w:szCs w:val="16"/>
        </w:rPr>
        <w:t xml:space="preserve">показывается покрытие затрат на осуществление воспитательной и социализирующей деятельности в отчетном году, в том числе на обеспечение функционирования структурных подразделений воспитательной деятельности (без учета</w:t>
      </w:r>
      <w:r>
        <w:rPr>
          <w:b/>
          <w:sz w:val="16"/>
          <w:szCs w:val="16"/>
        </w:rPr>
        <w:t xml:space="preserve"> затрат на приобретение основных фондов) и проведение мероприятий воспитательной, патриотической и др. направленности, отраженных </w:t>
      </w:r>
      <w:bookmarkStart w:id="0" w:name="_GoBack"/>
      <w:r/>
      <w:bookmarkEnd w:id="0"/>
      <w:r>
        <w:rPr>
          <w:b/>
          <w:sz w:val="16"/>
          <w:szCs w:val="16"/>
        </w:rPr>
        <w:t xml:space="preserve">в финансовом учете</w:t>
      </w:r>
      <w:r>
        <w:rPr>
          <w:b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8"/>
    <w:link w:val="621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Title"/>
    <w:basedOn w:val="617"/>
    <w:next w:val="62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2">
    <w:name w:val="Body Text"/>
    <w:basedOn w:val="617"/>
    <w:pPr>
      <w:spacing w:after="140"/>
    </w:pPr>
  </w:style>
  <w:style w:type="paragraph" w:styleId="623">
    <w:name w:val="List"/>
    <w:basedOn w:val="622"/>
    <w:rPr>
      <w:rFonts w:ascii="PT Astra Serif" w:hAnsi="PT Astra Serif" w:cs="Noto Sans Devanagari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5">
    <w:name w:val="index heading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26">
    <w:name w:val="No Spacing"/>
    <w:basedOn w:val="617"/>
    <w:uiPriority w:val="1"/>
    <w:qFormat/>
    <w:pPr>
      <w:spacing w:after="0" w:line="240" w:lineRule="auto"/>
    </w:pPr>
  </w:style>
  <w:style w:type="paragraph" w:styleId="627">
    <w:name w:val="List Paragraph"/>
    <w:basedOn w:val="617"/>
    <w:uiPriority w:val="34"/>
    <w:qFormat/>
    <w:pPr>
      <w:contextualSpacing/>
      <w:ind w:left="720"/>
    </w:pPr>
  </w:style>
  <w:style w:type="paragraph" w:styleId="628">
    <w:name w:val="Normal (Web)"/>
    <w:basedOn w:val="617"/>
    <w:qFormat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denno_tv</cp:lastModifiedBy>
  <cp:revision>4</cp:revision>
  <dcterms:created xsi:type="dcterms:W3CDTF">2024-01-17T23:39:00Z</dcterms:created>
  <dcterms:modified xsi:type="dcterms:W3CDTF">2024-12-22T22:05:42Z</dcterms:modified>
</cp:coreProperties>
</file>